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порядке проведения </w:t>
      </w:r>
      <w:r w:rsidR="00A46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r w:rsidRPr="001F5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1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 201</w:t>
      </w:r>
      <w:r w:rsidR="00A4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F5EA5" w:rsidRPr="001F5EA5" w:rsidTr="004F2DFC">
        <w:tc>
          <w:tcPr>
            <w:tcW w:w="4785" w:type="dxa"/>
            <w:hideMark/>
          </w:tcPr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заседанием педагогического Совета</w:t>
            </w:r>
          </w:p>
          <w:p w:rsidR="00BB0800" w:rsidRPr="001F5EA5" w:rsidRDefault="001F5EA5" w:rsidP="00A4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№____от «____»________ 201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КГА ПОУ «ДИТК»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В.Г. Матвеева</w:t>
            </w:r>
          </w:p>
          <w:p w:rsidR="00BB0800" w:rsidRPr="001F5EA5" w:rsidRDefault="001F5EA5" w:rsidP="00A46D7D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 201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5EA5" w:rsidRPr="001F5EA5" w:rsidTr="004F2DFC">
        <w:tc>
          <w:tcPr>
            <w:tcW w:w="4785" w:type="dxa"/>
          </w:tcPr>
          <w:p w:rsidR="001F5EA5" w:rsidRPr="001F5EA5" w:rsidRDefault="001F5EA5" w:rsidP="001F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F5EA5" w:rsidRPr="001F5EA5" w:rsidRDefault="001F5EA5" w:rsidP="001F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EA5" w:rsidRPr="001F5EA5" w:rsidRDefault="001F5EA5" w:rsidP="001F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FF" w:rsidRPr="001F5EA5" w:rsidRDefault="00D33DFF" w:rsidP="001F5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235" w:rsidRPr="00A46D7D" w:rsidRDefault="001F5EA5" w:rsidP="00380A3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4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A46D7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                           </w:t>
      </w:r>
      <w:r w:rsidRPr="00A46D7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 xml:space="preserve">                                      </w:t>
      </w:r>
    </w:p>
    <w:p w:rsidR="00380A34" w:rsidRPr="00380A34" w:rsidRDefault="00380A34" w:rsidP="0038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Поряд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самообследования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КГА ПОУ «ДИТК»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Порядок) разработан на основании Федерального закона от 29.12.2012 г. №273 - ФЗ «Закон об образовании в Российской Федерации» (п. 3,13 ч. 3 ст. 28, п. 3 ч. 2 ст. 29), в соответствии Приказам Министерства образования и науки Российской Федерации (Минобрнауки России) от 14 июня 2013 г. №462 г. «Об утверждении Порядка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самообследования образовательной организацией», от 10 декабря 2013 г. №1324 «Об утверждении показателей деятельности образовательной организации, подлежащей самообследованию».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Порядок устанавливает правила проведения самообследования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КГА ПОУ «ДИТК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(далее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олледж).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Порядок размещается на официальном сайте Колледжа в информационно-телекоммуникационной сети «Интернет».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экземпляр локального акта хранится в библиотеке Колледжа.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Целями проведения самообследования являются обеспечение доступности и открытости информации о деятельности Колледжа, а также подготовка отчета о результатах самообследования (далее - отчет).</w:t>
      </w:r>
    </w:p>
    <w:p w:rsidR="00380A34" w:rsidRPr="00380A34" w:rsidRDefault="00380A34" w:rsidP="00380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самообследования являются:</w:t>
      </w:r>
    </w:p>
    <w:p w:rsidR="00380A34" w:rsidRPr="00380A34" w:rsidRDefault="00380A34" w:rsidP="00380A3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получение объективной информации о состоянии образовательной деятельности Колледжа;</w:t>
      </w:r>
    </w:p>
    <w:p w:rsidR="00380A34" w:rsidRPr="00380A34" w:rsidRDefault="00380A34" w:rsidP="00380A3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установление степени соответствия фактического состояния образовательного процесса прогнозируемому состоянию;</w:t>
      </w:r>
    </w:p>
    <w:p w:rsidR="00380A34" w:rsidRPr="00380A34" w:rsidRDefault="00380A34" w:rsidP="00380A3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выявление наличия или отсутствия динамики образовательной системы в целом или отдельных её компонентов;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установление причин возникновения проблем, выявленных в процессе самообследования;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составление прогнозов изменений, связанных с объектами оценивания или действиями</w:t>
      </w:r>
      <w:r w:rsidR="00B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относящимися к ним.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Обобщенные оценки, отдельные данные, представленные в отчете, должны служить основанием для принятия управленческих решений по повышению качества образования и корректировки стратегии развития Колледжа. </w:t>
      </w:r>
    </w:p>
    <w:p w:rsidR="00380A34" w:rsidRPr="00B4552C" w:rsidRDefault="00380A34" w:rsidP="00B4552C">
      <w:pPr>
        <w:tabs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45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B45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B45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ПРОЦЕДУРА ПРОВЕДЕНИЯ САМООБСЛЕДОВАНИЯ</w:t>
      </w:r>
    </w:p>
    <w:p w:rsidR="00380A34" w:rsidRPr="00380A34" w:rsidRDefault="00380A34" w:rsidP="00B4552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Самообследование проводится Колледжем ежегодно.</w:t>
      </w:r>
    </w:p>
    <w:p w:rsidR="00380A34" w:rsidRPr="00380A34" w:rsidRDefault="00380A34" w:rsidP="00B4552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Процедура самообследования включает в себя следующие этапы: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планирование и подготовку работ по самообследованию Колледжа;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организацию и проведение самообследования в Колледже;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обобщение полученных результатов и на их основе формирование отчета;</w:t>
      </w:r>
    </w:p>
    <w:p w:rsidR="00380A34" w:rsidRPr="00380A34" w:rsidRDefault="00380A34" w:rsidP="00B455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рассмотрение отчета </w:t>
      </w:r>
      <w:r w:rsidR="00B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едагогическим </w:t>
      </w:r>
      <w:r w:rsidR="00B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оветом Колледжа;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Сроки, форма проведения самообследования, состав лиц, привлекаемых для его проведения, определяются директором Колледжа и закрепляются соответствующим приказом «О проведении самообследования в Колледже в 20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/20 учебном году».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процессе самообследования проводится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оценка образовательной деятельности;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системы управления Колледжа;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содержания и качества подготовки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целом по Колледжу и по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профессиям 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специальностям);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организации учебного процесса;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востребованности выпускников;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качества кадрового, уч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ебно-методического, библиотечно-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информационного обеспечения, материально-технической базы;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функционирования внутренней системы оценки качества образования;</w:t>
      </w:r>
    </w:p>
    <w:p w:rsidR="00380A34" w:rsidRPr="00380A34" w:rsidRDefault="00380A34" w:rsidP="00F146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80A34" w:rsidRPr="00A41D22" w:rsidRDefault="00380A34" w:rsidP="00A41D22">
      <w:pPr>
        <w:tabs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41D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A41D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A41D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ОТЧЕТА ПО САМООБСЛЕДОВАНИЮ</w:t>
      </w:r>
    </w:p>
    <w:p w:rsidR="00380A34" w:rsidRPr="00380A34" w:rsidRDefault="00380A34" w:rsidP="00B45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 по самообследованию включает в себя следующие сведения:</w:t>
      </w:r>
    </w:p>
    <w:p w:rsidR="00380A34" w:rsidRPr="00380A34" w:rsidRDefault="00380A34" w:rsidP="00A41D2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титульный лист (полное наименование образовательной организации в соответствии с уставом; гриф «Утверждаю» с датой и подписью директора Колледжа; дата рассмотрения и номер протокола рассмотрения отчета на заседании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 Колледжа);</w:t>
      </w:r>
    </w:p>
    <w:p w:rsidR="00380A34" w:rsidRPr="00380A34" w:rsidRDefault="00380A34" w:rsidP="00A41D2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преамбула (реквизиты приказа директора Колледжа о проведении самообследования; сведения о том, что анализировалось и оценивалось в ходе самообследования; какие материалы были исследованы в ходе самообследования (нормативно-правовая документация, учебные планы и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программы,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и информационное обеспечение, сведения о кадровом и материально-техническом оснащении обра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зовательного процесса и т. п.).</w:t>
      </w:r>
      <w:proofErr w:type="gramEnd"/>
    </w:p>
    <w:p w:rsidR="00380A34" w:rsidRPr="00380A34" w:rsidRDefault="00380A34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общие сведения о Колледже (полное наименование образовательной организации (ОО) в соответствии с </w:t>
      </w:r>
      <w:r w:rsidR="00A41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ставом, организационно-правовая форма по уставу, тип ОО, юридический адрес, телефон, учредитель, устав, свидетельство о внесении записи в Единый государственный реестр юридических лиц, свидетельство о постановке на учет в налоговом органе, свидетельство о землепользовании, акт о приемке собственности в оперативное управление, лицензия на право осуществления образовательной деятельности, свидетельство о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аккредитации, банковские реквизиты);</w:t>
      </w:r>
    </w:p>
    <w:p w:rsidR="00380A34" w:rsidRPr="00380A34" w:rsidRDefault="00380A34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система управления Колледжем (организационная структура Колледжа и ее соответствие решаемым задачам; порядок организации управления Колледжем; наличие коллективных органов управления, их полномочия, круг решаемых вопросов; наличие и характеристика системы контроля качества (элементов системы) в Колледже; наличие утвержденных в установленном порядке локальных актов, регламентирующих структуру управления Колледжа об основных направлениях деятельности образовательного учреждения, о структурных подразделениях, должностных инструкций;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локальных нормативных актов, регламентирующих организацию образовательной деятельности; организация годового и перспективного планирования; порядок организации и ведения делопроизводства; психологический климат в коллективе);</w:t>
      </w:r>
    </w:p>
    <w:p w:rsidR="00380A34" w:rsidRPr="00380A34" w:rsidRDefault="00A41D22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структура </w:t>
      </w:r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подготовки специалистов (образовательные программы различного уровня, определенные лицензией и фактически реализуемые Колледжем; динамика изменений в перечне реализуемых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профессий и </w:t>
      </w:r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специальностей за соответствующий период: по каким образовательным программам начата подготовка, по каким - прекращена; какие программы, имеющиеся в лицензии, не реализуются совсем и почему; порядок формирования контингента обучающихся и работа по его сохранению;</w:t>
      </w:r>
      <w:proofErr w:type="gramEnd"/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при приеме документов и при зачислении (в целом по Колледжу и по каждой специальности с разбивкой по формам обучения); сведения об общей численности студентов, в том числе с разбивкой по специальностям и формам обучения; число студентов, обучающихся на условиях полного возмещения затрат на обучение (на платной основе); выпуск специалистов за последний год (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и по каждой профессии, специальности</w:t>
      </w:r>
      <w:r w:rsidR="00380A34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proofErr w:type="gramEnd"/>
    </w:p>
    <w:p w:rsidR="00380A34" w:rsidRPr="00380A34" w:rsidRDefault="00380A34" w:rsidP="00A41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содержание и качество подготовки обучающихся (соответствие учебного плана и профессиональной образовательной программы требованиям федерального государственного образовательного стандарта по 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профессиям,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специальностям; уровень требований при промежуточной аттестации (анализ содержания экзаменационных билетов, вариантов итоговых контрольных работ и результатов зачетов, экзаменов); степень усвоения студентами программного материала (на основе анализа результатов промежуточных аттестаций); результаты государственной итоговой аттестации, итоги работы ГАК (анализ отчетов председателей ГАК).</w:t>
      </w:r>
      <w:proofErr w:type="gramEnd"/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организация учебного процесса (соответствие организации учебного процесса графику учебного процесса и учебным планам (начало учебного года, деление на семестры, наличие экзаменационных сессий, их количество); выполнение требований к максимальной и аудиторной нагрузке студентов; одно- или двухсменная организация занятий, соответствие продолжительности академического часа нормативным требованиям;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расписания занятий, его форма и технология составления (на какой срок разрабатывается, порядок внесения изменений в расписание); порядок ознакомления студентов с расписанием занятий; основные виды учебных занятий (охарактеризовать); использование в учебном процессе инноваций, современных педагогических технологий (в </w:t>
      </w:r>
      <w:proofErr w:type="spell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информационных) внедрение новых форм, методов обучения и средств активизации познавательной деятельности студентов;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промежуточных аттестаций, порядок пересдачи зачетов и экзаменов; порядок разработки и утверждения тем курсовых и выпускных квалификационных работ, порядок их защиты; организация самостоятельной работы студентов (наличие методических указаний, учебно-методических материалов в помощь студентам), организация контроля ее выполнения; уровень ориентации учебного процесса на практическую деятельность; организация практик: наличие учебно-программной документации, методического обеспечения, организация руководства практиками, отчетная документация студентов);</w:t>
      </w:r>
      <w:proofErr w:type="gramEnd"/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организация воспитательного процесса (наличие концепции (программы) воспитательной работы, ее характеристика; структура административного подразделения, ответственного за воспитательную работу; планирование и анализ воспитательной работы; перечень локальных актов, регламентирующих проведение воспитательной работы и деятельность ответственного подразделения; хара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ктеристика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основных направлений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воспитательной работы, наиболее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действенные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ее формы и методы,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результативность; организация студенческого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самоуправления;</w:t>
      </w:r>
      <w:proofErr w:type="gramEnd"/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факты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использования в целях 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 возможностей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воспитательного процесса (наличие в рабочих учебных про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граммах нравственных, психолого-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аспектов и др.); организация психолого-консультационной и профилактической работы, ее результативность; уровень методического обеспечения воспитательной работы; наличие и эффективность использования материально-технической базы для внеучебной работы; наличие механизмов стимулирования студентов за достижения в учебной и внеучебной деятельности);</w:t>
      </w:r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социально-бытовые условия (медицинское обслуживание, лечебно-оздоровительная работа, наличие в штате Колледжа медицинского подразделения (оборудованных помещений для осуществления лечебно-оздоровительной работы); общественное питание (наличие собственных столовой); объекты физической культуры и спорта; студенческое общежитие с указанием числа мест, наличия в них необходимых условий для проживания, питания, культурного отдыха, учебы и т. д.; помещения для отдыха, досуга, культурных мероприятий;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численность студентов, получающих социальную стипендию)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востребованность выпускников (трудоустройство выпускников, отзывы работодателей; сведения о наличии (отсутствии) выпускников, состоящих на учете в службе занятости);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качество кадрового потенциала (численность педагогического состава (с разбивкой на штатных работников, внутренних и внешних совместителей); качественный состав преподавателей: наличие квалификационных категорий; соответствие базового образования профилю преподаваемых дисциплин; привлечение ведущих специалистов отрасли, практических работников к работе со студентами; качественный состав цикловых 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методических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комиссий; формы работы с преподавателями; организация повышения квалификации педагогических кадров: планирование, формы работы, численность прошедших повышение квалификации за обследуемый период; организация работы по аттестации педагогических и руководящих кадров);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научно-методический потенциал (документы, регламентирующие порядок организации и проведения научной работы; наличие структур или лиц, отвечающих за организацию и проведение НИР; планирование НИР; основные формы научно-исследовательской деятельности; подготовка и проведение научных, научно-практических конференций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семинаров; научные публикации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(монографии, материалы конференций, научные статьи, тезисы выступлений и т. д.); участие в научных, научно-практических конференциях, семинарах;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и обобщение передового опыта)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материально-техническая база (общая площадь учебных помещений; общее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количество учебных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кабинетов, лабор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аторий; их соответствие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лицензионным требованиям; урове</w:t>
      </w:r>
      <w:r w:rsidR="0047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 оснащенности Колледжа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лабораторным оборудованием, степень его новизны, динамика обновления материально-технической базы; общее количество компьютерных классов; использование баз организаций для практической подготовки специалистов);</w:t>
      </w:r>
    </w:p>
    <w:p w:rsidR="00380A34" w:rsidRPr="00380A34" w:rsidRDefault="00380A34" w:rsidP="00477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учебно-методическое, библиотечно-информационное обеспечение (сведения о наличии в Колледже собственной библиотеки и читального зала; общий фонд библиотеки и фонд учебной литературы с разбивкой по специальностям; выполнение лицензионных и аккредитационных нормативов по обеспеченности студентов литературой различного вида; размер денежных средств, затраченных на приобретение новой учебной литературы; динамика пополнения библиотечного фонда; количество изданных преподавателями Колледжа учебников, учебных и учебно-методических пособий, методических разработок (всего и с различными грифами), количество печатных листов; общее количество ПЭВМ, в том числе используемых в учебном процессе; степень новизны ПЭВМ; наличие программных продуктов (с разбивкой по видам: обучающие, моделирующие, контролирующие и др.), используемых в учебном процессе.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электронных учебников, мультимедийных обучающих систем и других программных продуктов, разработанных преподавателями учебного заведения; общее количество оргтехники и ТСО с разбивкой по видам, степень их новизны.);</w:t>
      </w:r>
      <w:proofErr w:type="gramEnd"/>
    </w:p>
    <w:p w:rsidR="00380A34" w:rsidRPr="00380A34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характеристика системы управления качеством обучения (наличие локальных актов и планирующих документов, регламентирующих работу по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организации управления качеством подготовки специалистов; формы и методы, используемые при проведении контроля; виды (входной, текущий, промежуточный, итоговый) и инструменты (тесты, контрольные работы и домашние задания, экзаменационные и зачетные вопросы) контроля; порядок организации и проведения государственной итоговой аттестации выпускников: наличие документов, регламентирующих ее проведение и работу ГАК; состав ГАК; уровень требований; результаты мониторинга удовлетворенности образовательным процессом);</w:t>
      </w:r>
    </w:p>
    <w:p w:rsidR="00A46D7D" w:rsidRDefault="00380A34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анализ показателей деятельности Колледжа, установленных Приказом Министерства образования и науки РФ от 10.12.2013г. №1324 «Об утверждении показателей деятельности образовательной организации, подлежащей самообследованию»:</w:t>
      </w:r>
    </w:p>
    <w:p w:rsidR="008838EC" w:rsidRPr="008838EC" w:rsidRDefault="008838EC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60F9D" w:rsidRPr="00451159" w:rsidRDefault="00560F9D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523"/>
      </w:tblGrid>
      <w:tr w:rsidR="004F1A21" w:rsidTr="00451159">
        <w:tc>
          <w:tcPr>
            <w:tcW w:w="959" w:type="dxa"/>
          </w:tcPr>
          <w:p w:rsidR="004F1A21" w:rsidRPr="006911C8" w:rsidRDefault="00560F9D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911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№ </w:t>
            </w:r>
          </w:p>
          <w:p w:rsidR="006911C8" w:rsidRPr="006911C8" w:rsidRDefault="006911C8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F1A21" w:rsidRDefault="00560F9D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523" w:type="dxa"/>
          </w:tcPr>
          <w:p w:rsidR="004F1A21" w:rsidRDefault="00595EA6" w:rsidP="00560F9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Единица измерения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911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3" w:type="dxa"/>
          </w:tcPr>
          <w:p w:rsidR="004F1A21" w:rsidRPr="006911C8" w:rsidRDefault="004F1A21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Общая численность студентов, обучающихся по образовательным программам подготовки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квалифицированных рабочих, служащих и </w:t>
            </w: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специалистов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1523" w:type="dxa"/>
          </w:tcPr>
          <w:p w:rsidR="004F1A21" w:rsidRPr="006911C8" w:rsidRDefault="006911C8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Количество реализуемых образовательных программ среднего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523" w:type="dxa"/>
          </w:tcPr>
          <w:p w:rsidR="004F1A21" w:rsidRPr="006911C8" w:rsidRDefault="006911C8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6911C8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F1A21" w:rsidRPr="006911C8" w:rsidRDefault="006911C8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23" w:type="dxa"/>
          </w:tcPr>
          <w:p w:rsidR="004F1A21" w:rsidRPr="006911C8" w:rsidRDefault="006911C8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371" w:type="dxa"/>
          </w:tcPr>
          <w:p w:rsidR="00451159" w:rsidRPr="006911C8" w:rsidRDefault="00451159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Первая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451159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8838EC" w:rsidRPr="00451159" w:rsidRDefault="00451159" w:rsidP="00451159">
            <w:pPr>
              <w:widowControl w:val="0"/>
              <w:spacing w:line="312" w:lineRule="exac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51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вес численности педагогических </w:t>
            </w:r>
            <w:r w:rsidRPr="00451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работников, прошедших 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валификации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профессиональную переподготовку </w:t>
            </w:r>
            <w:proofErr w:type="gramStart"/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45115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последние 3 года, в общей численности 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451159" w:rsidTr="00451159">
        <w:tc>
          <w:tcPr>
            <w:tcW w:w="959" w:type="dxa"/>
          </w:tcPr>
          <w:p w:rsidR="00451159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7371" w:type="dxa"/>
          </w:tcPr>
          <w:p w:rsidR="00451159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23" w:type="dxa"/>
          </w:tcPr>
          <w:p w:rsidR="00451159" w:rsidRDefault="00451159" w:rsidP="00451159">
            <w:pPr>
              <w:jc w:val="center"/>
            </w:pPr>
            <w:r w:rsidRPr="002F3213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23" w:type="dxa"/>
          </w:tcPr>
          <w:p w:rsidR="008838EC" w:rsidRDefault="008838EC" w:rsidP="008838EC">
            <w:pPr>
              <w:jc w:val="center"/>
            </w:pP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23" w:type="dxa"/>
          </w:tcPr>
          <w:p w:rsidR="008838EC" w:rsidRDefault="008838EC" w:rsidP="008838EC">
            <w:pPr>
              <w:jc w:val="center"/>
            </w:pPr>
            <w:proofErr w:type="spell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23" w:type="dxa"/>
          </w:tcPr>
          <w:p w:rsidR="008838EC" w:rsidRDefault="008838EC" w:rsidP="008838EC">
            <w:pPr>
              <w:jc w:val="center"/>
            </w:pPr>
            <w:proofErr w:type="spell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4F1A21" w:rsidTr="00451159">
        <w:tc>
          <w:tcPr>
            <w:tcW w:w="959" w:type="dxa"/>
          </w:tcPr>
          <w:p w:rsidR="004F1A21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4F1A21" w:rsidRPr="008838EC" w:rsidRDefault="008838EC" w:rsidP="008838EC">
            <w:pPr>
              <w:pStyle w:val="2"/>
              <w:shd w:val="clear" w:color="auto" w:fill="auto"/>
              <w:spacing w:before="0" w:line="312" w:lineRule="exac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BC0DF4">
              <w:rPr>
                <w:rStyle w:val="95pt"/>
                <w:b w:val="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23" w:type="dxa"/>
          </w:tcPr>
          <w:p w:rsidR="004F1A21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E8713D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4F1A21" w:rsidTr="00451159">
        <w:tc>
          <w:tcPr>
            <w:tcW w:w="959" w:type="dxa"/>
          </w:tcPr>
          <w:p w:rsidR="004F1A21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4F1A21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экономике региона</w:t>
            </w:r>
          </w:p>
        </w:tc>
        <w:tc>
          <w:tcPr>
            <w:tcW w:w="1523" w:type="dxa"/>
          </w:tcPr>
          <w:p w:rsidR="004F1A21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%</w:t>
            </w:r>
          </w:p>
        </w:tc>
      </w:tr>
      <w:tr w:rsidR="004F1A21" w:rsidTr="00451159">
        <w:tc>
          <w:tcPr>
            <w:tcW w:w="959" w:type="dxa"/>
          </w:tcPr>
          <w:p w:rsidR="004F1A21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4F1A21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Инфраструктура</w:t>
            </w:r>
          </w:p>
        </w:tc>
        <w:tc>
          <w:tcPr>
            <w:tcW w:w="1523" w:type="dxa"/>
          </w:tcPr>
          <w:p w:rsidR="004F1A21" w:rsidRPr="006911C8" w:rsidRDefault="004F1A21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523" w:type="dxa"/>
          </w:tcPr>
          <w:p w:rsidR="008838EC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кв</w:t>
            </w:r>
            <w:proofErr w:type="gramStart"/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</w:tc>
        <w:tc>
          <w:tcPr>
            <w:tcW w:w="1523" w:type="dxa"/>
          </w:tcPr>
          <w:p w:rsidR="008838EC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</w:t>
            </w:r>
          </w:p>
        </w:tc>
      </w:tr>
      <w:tr w:rsidR="008838EC" w:rsidTr="00451159">
        <w:tc>
          <w:tcPr>
            <w:tcW w:w="959" w:type="dxa"/>
          </w:tcPr>
          <w:p w:rsidR="008838EC" w:rsidRPr="006911C8" w:rsidRDefault="008838EC" w:rsidP="00595EA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8838EC" w:rsidRPr="006911C8" w:rsidRDefault="008838EC" w:rsidP="0047739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дентов, проживающих в общежитии</w:t>
            </w: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, в общей численности сту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дентов, нуждающихся в общежитии</w:t>
            </w:r>
          </w:p>
        </w:tc>
        <w:tc>
          <w:tcPr>
            <w:tcW w:w="1523" w:type="dxa"/>
          </w:tcPr>
          <w:p w:rsidR="008838EC" w:rsidRPr="006911C8" w:rsidRDefault="008838EC" w:rsidP="006911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0DF4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</w:tbl>
    <w:p w:rsidR="004F1A21" w:rsidRDefault="004F1A21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D16DE" w:rsidRPr="007D16DE" w:rsidRDefault="007D16DE" w:rsidP="007D16D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42"/>
          <w:tab w:val="left" w:pos="993"/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ОФОРМЛЕНИЕ РЕЗУЛЬТАТОВ САМООБСЛЕДОВАНИЯ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160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>Результаты самообследования Колл</w:t>
      </w:r>
      <w:bookmarkStart w:id="0" w:name="_GoBack"/>
      <w:bookmarkEnd w:id="0"/>
      <w:r w:rsidRPr="007D16DE">
        <w:rPr>
          <w:rFonts w:ascii="Times New Roman" w:hAnsi="Times New Roman" w:cs="Times New Roman"/>
          <w:sz w:val="28"/>
          <w:szCs w:val="28"/>
        </w:rPr>
        <w:t>еджа оформляются в виде отчета, включающего аналитическую часть и результаты анализа показателей деятельности Колледжа, подлежащей самообследованию.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after="0" w:line="322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Отчет составляется по состоянию на 1 апреля текущего года.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160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Отчет предоставляется на обсуждение педагогического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16DE">
        <w:rPr>
          <w:rFonts w:ascii="Times New Roman" w:hAnsi="Times New Roman" w:cs="Times New Roman"/>
          <w:sz w:val="28"/>
          <w:szCs w:val="28"/>
        </w:rPr>
        <w:t>овета не позднее 10 апреля текущего года.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Отчет утверждается приказом по Колледжу «Об утверждении отчета</w:t>
      </w:r>
    </w:p>
    <w:p w:rsidR="007D16DE" w:rsidRPr="007D16DE" w:rsidRDefault="007D16DE" w:rsidP="007D16DE">
      <w:pPr>
        <w:tabs>
          <w:tab w:val="left" w:pos="1276"/>
          <w:tab w:val="left" w:leader="underscore" w:pos="4998"/>
        </w:tabs>
        <w:spacing w:after="0" w:line="322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>о самообследовании в Колледже за 20</w:t>
      </w:r>
      <w:r w:rsidRPr="007D16DE">
        <w:rPr>
          <w:rFonts w:ascii="Times New Roman" w:hAnsi="Times New Roman" w:cs="Times New Roman"/>
          <w:sz w:val="28"/>
          <w:szCs w:val="28"/>
        </w:rPr>
        <w:tab/>
        <w:t>/20 учебный год»,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6DE">
        <w:rPr>
          <w:rFonts w:ascii="Times New Roman" w:hAnsi="Times New Roman" w:cs="Times New Roman"/>
          <w:sz w:val="28"/>
          <w:szCs w:val="28"/>
        </w:rPr>
        <w:t>директором Колледжа и заверяется печатью.</w:t>
      </w:r>
    </w:p>
    <w:p w:rsidR="007D16DE" w:rsidRPr="007D16DE" w:rsidRDefault="007D16DE" w:rsidP="007D16DE">
      <w:pPr>
        <w:widowControl w:val="0"/>
        <w:numPr>
          <w:ilvl w:val="1"/>
          <w:numId w:val="2"/>
        </w:numPr>
        <w:tabs>
          <w:tab w:val="left" w:pos="1276"/>
        </w:tabs>
        <w:spacing w:after="0" w:line="322" w:lineRule="exact"/>
        <w:ind w:left="160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16DE">
        <w:rPr>
          <w:rFonts w:ascii="Times New Roman" w:hAnsi="Times New Roman" w:cs="Times New Roman"/>
          <w:sz w:val="28"/>
          <w:szCs w:val="28"/>
        </w:rPr>
        <w:t xml:space="preserve"> Размещение отчета Колледжа в </w:t>
      </w:r>
      <w:r w:rsidRPr="007D16DE">
        <w:rPr>
          <w:rFonts w:ascii="Times New Roman" w:hAnsi="Times New Roman" w:cs="Times New Roman"/>
          <w:sz w:val="28"/>
          <w:szCs w:val="28"/>
        </w:rPr>
        <w:t>информационно телекоммуникационных</w:t>
      </w:r>
      <w:r w:rsidRPr="007D16DE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Колледжа в сети «Интернет» по адресу</w:t>
      </w:r>
      <w:r w:rsidR="005263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2636E" w:rsidRPr="005263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itk-dg.ru</w:t>
        </w:r>
      </w:hyperlink>
      <w:r w:rsidR="0052636E">
        <w:rPr>
          <w:rFonts w:ascii="Times New Roman" w:eastAsia="Calibri" w:hAnsi="Times New Roman" w:cs="Times New Roman"/>
          <w:color w:val="0000FF"/>
          <w:sz w:val="27"/>
          <w:szCs w:val="27"/>
        </w:rPr>
        <w:t xml:space="preserve">  </w:t>
      </w:r>
      <w:hyperlink r:id="rId9" w:history="1"/>
      <w:r w:rsidRPr="007D16DE">
        <w:rPr>
          <w:rStyle w:val="40"/>
          <w:rFonts w:eastAsiaTheme="minorHAnsi"/>
          <w:sz w:val="28"/>
          <w:szCs w:val="28"/>
          <w:lang w:val="ru-RU"/>
        </w:rPr>
        <w:t xml:space="preserve"> </w:t>
      </w:r>
      <w:r w:rsidRPr="007D16DE">
        <w:rPr>
          <w:rFonts w:ascii="Times New Roman" w:hAnsi="Times New Roman" w:cs="Times New Roman"/>
          <w:sz w:val="28"/>
          <w:szCs w:val="28"/>
        </w:rPr>
        <w:t>не позднее 20 апреля текущего года.</w:t>
      </w:r>
    </w:p>
    <w:p w:rsidR="008838EC" w:rsidRPr="00A46D7D" w:rsidRDefault="008838EC" w:rsidP="00477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sectPr w:rsidR="008838EC" w:rsidRPr="00A46D7D" w:rsidSect="00380A34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29" w:rsidRDefault="00785729" w:rsidP="00F157D2">
      <w:pPr>
        <w:spacing w:after="0" w:line="240" w:lineRule="auto"/>
      </w:pPr>
      <w:r>
        <w:separator/>
      </w:r>
    </w:p>
  </w:endnote>
  <w:endnote w:type="continuationSeparator" w:id="0">
    <w:p w:rsidR="00785729" w:rsidRDefault="00785729" w:rsidP="00F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D2" w:rsidRDefault="00F157D2">
    <w:pPr>
      <w:pStyle w:val="a5"/>
      <w:jc w:val="right"/>
    </w:pPr>
  </w:p>
  <w:p w:rsidR="00F157D2" w:rsidRDefault="00F15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29" w:rsidRDefault="00785729" w:rsidP="00F157D2">
      <w:pPr>
        <w:spacing w:after="0" w:line="240" w:lineRule="auto"/>
      </w:pPr>
      <w:r>
        <w:separator/>
      </w:r>
    </w:p>
  </w:footnote>
  <w:footnote w:type="continuationSeparator" w:id="0">
    <w:p w:rsidR="00785729" w:rsidRDefault="00785729" w:rsidP="00F1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B19"/>
    <w:multiLevelType w:val="multilevel"/>
    <w:tmpl w:val="9D4C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47F6F"/>
    <w:multiLevelType w:val="hybridMultilevel"/>
    <w:tmpl w:val="5E042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A13"/>
    <w:multiLevelType w:val="hybridMultilevel"/>
    <w:tmpl w:val="C62AF180"/>
    <w:lvl w:ilvl="0" w:tplc="AE3EF4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A"/>
    <w:rsid w:val="000450A7"/>
    <w:rsid w:val="00086A5D"/>
    <w:rsid w:val="001506AC"/>
    <w:rsid w:val="001E7751"/>
    <w:rsid w:val="001F5EA5"/>
    <w:rsid w:val="00240944"/>
    <w:rsid w:val="00304299"/>
    <w:rsid w:val="00380A34"/>
    <w:rsid w:val="0040283D"/>
    <w:rsid w:val="00451159"/>
    <w:rsid w:val="00477399"/>
    <w:rsid w:val="004F1A21"/>
    <w:rsid w:val="0052636E"/>
    <w:rsid w:val="00560F9D"/>
    <w:rsid w:val="00595EA6"/>
    <w:rsid w:val="005C14F5"/>
    <w:rsid w:val="005C2D7A"/>
    <w:rsid w:val="005D4448"/>
    <w:rsid w:val="00675C00"/>
    <w:rsid w:val="006873E0"/>
    <w:rsid w:val="006911C8"/>
    <w:rsid w:val="006B265D"/>
    <w:rsid w:val="00785729"/>
    <w:rsid w:val="007D16DE"/>
    <w:rsid w:val="00803C80"/>
    <w:rsid w:val="00841235"/>
    <w:rsid w:val="008450AA"/>
    <w:rsid w:val="00857248"/>
    <w:rsid w:val="008838EC"/>
    <w:rsid w:val="00885EC0"/>
    <w:rsid w:val="00976672"/>
    <w:rsid w:val="00987384"/>
    <w:rsid w:val="00A41D22"/>
    <w:rsid w:val="00A46D7D"/>
    <w:rsid w:val="00A51A6E"/>
    <w:rsid w:val="00B4552C"/>
    <w:rsid w:val="00C27F8A"/>
    <w:rsid w:val="00CA6CAE"/>
    <w:rsid w:val="00CD0393"/>
    <w:rsid w:val="00CE37D8"/>
    <w:rsid w:val="00D207AE"/>
    <w:rsid w:val="00D320F4"/>
    <w:rsid w:val="00D33DFF"/>
    <w:rsid w:val="00D35644"/>
    <w:rsid w:val="00EA1932"/>
    <w:rsid w:val="00F146CA"/>
    <w:rsid w:val="00F157D2"/>
    <w:rsid w:val="00F36F8C"/>
    <w:rsid w:val="00F5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  <w:style w:type="paragraph" w:styleId="a7">
    <w:name w:val="List Paragraph"/>
    <w:basedOn w:val="a"/>
    <w:uiPriority w:val="34"/>
    <w:qFormat/>
    <w:rsid w:val="00A46D7D"/>
    <w:pPr>
      <w:ind w:left="720"/>
      <w:contextualSpacing/>
    </w:pPr>
  </w:style>
  <w:style w:type="table" w:styleId="a8">
    <w:name w:val="Table Grid"/>
    <w:basedOn w:val="a1"/>
    <w:uiPriority w:val="59"/>
    <w:rsid w:val="004F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;Полужирный"/>
    <w:basedOn w:val="a0"/>
    <w:rsid w:val="0056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883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38E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7D16DE"/>
    <w:rPr>
      <w:color w:val="000080"/>
      <w:u w:val="single"/>
    </w:rPr>
  </w:style>
  <w:style w:type="character" w:customStyle="1" w:styleId="4">
    <w:name w:val="Основной текст (4)_"/>
    <w:basedOn w:val="a0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16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D16D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  <w:style w:type="paragraph" w:styleId="a7">
    <w:name w:val="List Paragraph"/>
    <w:basedOn w:val="a"/>
    <w:uiPriority w:val="34"/>
    <w:qFormat/>
    <w:rsid w:val="00A46D7D"/>
    <w:pPr>
      <w:ind w:left="720"/>
      <w:contextualSpacing/>
    </w:pPr>
  </w:style>
  <w:style w:type="table" w:styleId="a8">
    <w:name w:val="Table Grid"/>
    <w:basedOn w:val="a1"/>
    <w:uiPriority w:val="59"/>
    <w:rsid w:val="004F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;Полужирный"/>
    <w:basedOn w:val="a0"/>
    <w:rsid w:val="0056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883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38E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7D16DE"/>
    <w:rPr>
      <w:color w:val="000080"/>
      <w:u w:val="single"/>
    </w:rPr>
  </w:style>
  <w:style w:type="character" w:customStyle="1" w:styleId="4">
    <w:name w:val="Основной текст (4)_"/>
    <w:basedOn w:val="a0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16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D16D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lkolledz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9</cp:revision>
  <cp:lastPrinted>2014-08-17T08:36:00Z</cp:lastPrinted>
  <dcterms:created xsi:type="dcterms:W3CDTF">2017-07-03T23:41:00Z</dcterms:created>
  <dcterms:modified xsi:type="dcterms:W3CDTF">2017-08-24T03:44:00Z</dcterms:modified>
</cp:coreProperties>
</file>