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15" w:rsidRDefault="00D5133E" w:rsidP="00A878B4">
      <w:pPr>
        <w:ind w:left="-142"/>
        <w:rPr>
          <w:b/>
          <w:color w:val="auto"/>
          <w:w w:val="100"/>
        </w:rPr>
        <w:sectPr w:rsidR="00B10C15" w:rsidSect="008152B1">
          <w:headerReference w:type="even" r:id="rId8"/>
          <w:footerReference w:type="even" r:id="rId9"/>
          <w:footerReference w:type="default" r:id="rId10"/>
          <w:footerReference w:type="first" r:id="rId11"/>
          <w:pgSz w:w="16838" w:h="11906" w:orient="landscape"/>
          <w:pgMar w:top="284" w:right="284" w:bottom="284" w:left="284" w:header="0" w:footer="0" w:gutter="0"/>
          <w:cols w:space="708"/>
          <w:titlePg/>
          <w:docGrid w:linePitch="360"/>
        </w:sectPr>
      </w:pPr>
      <w:r>
        <w:rPr>
          <w:b/>
          <w:noProof/>
          <w:color w:val="auto"/>
          <w:w w:val="100"/>
        </w:rPr>
        <w:drawing>
          <wp:inline distT="0" distB="0" distL="0" distR="0">
            <wp:extent cx="9896475" cy="719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15" w:rsidRPr="00BD0309" w:rsidRDefault="00B10C15" w:rsidP="00B10C15">
      <w:pPr>
        <w:contextualSpacing/>
        <w:jc w:val="center"/>
        <w:rPr>
          <w:rFonts w:eastAsia="Calibri"/>
          <w:b/>
          <w:color w:val="auto"/>
          <w:w w:val="100"/>
          <w:szCs w:val="24"/>
          <w:lang w:eastAsia="en-US"/>
        </w:rPr>
      </w:pPr>
      <w:r w:rsidRPr="00BD0309">
        <w:rPr>
          <w:rFonts w:eastAsia="Calibri"/>
          <w:b/>
          <w:color w:val="auto"/>
          <w:w w:val="100"/>
          <w:szCs w:val="24"/>
          <w:lang w:eastAsia="en-US"/>
        </w:rPr>
        <w:lastRenderedPageBreak/>
        <w:t>Пояснительная записка</w:t>
      </w:r>
    </w:p>
    <w:p w:rsidR="00B10C15" w:rsidRPr="00BD0309" w:rsidRDefault="00B10C15" w:rsidP="00B10C15">
      <w:pPr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B10C15" w:rsidRPr="00BD0309" w:rsidRDefault="00B10C15" w:rsidP="00BD0309">
      <w:pPr>
        <w:ind w:left="-142" w:right="-144"/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BD0309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Нормативная база реализации основной профессиональной образовательной программы</w:t>
      </w:r>
    </w:p>
    <w:p w:rsidR="00B10C15" w:rsidRPr="00BD0309" w:rsidRDefault="00B10C15" w:rsidP="00B10C15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BD0309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Учебный план предназначен для реализации требований ФГОС СПО на основании основного общего образования. Настоящий учебный план основной профессиональной образовательной программы </w:t>
      </w:r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>среднего профессионального образования краевого государственного автономного профессионального образовательного учреждения «</w:t>
      </w:r>
      <w:proofErr w:type="spellStart"/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>Дальнегорский</w:t>
      </w:r>
      <w:proofErr w:type="spellEnd"/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 xml:space="preserve"> индустриально-технологический колледж» разработан на основании приказов:</w:t>
      </w:r>
    </w:p>
    <w:p w:rsidR="00B10C15" w:rsidRPr="00BD0309" w:rsidRDefault="00B10C15" w:rsidP="00B10C15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>Федеральный закон от 29 декабря 2012 г. № 273-ФЗ «Об образовании в Российской Федерации»;</w:t>
      </w:r>
    </w:p>
    <w:p w:rsidR="00B10C15" w:rsidRPr="00BD0309" w:rsidRDefault="00B10C15" w:rsidP="00B10C15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B10C15" w:rsidRPr="00BD0309" w:rsidRDefault="00B10C15" w:rsidP="00B10C15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BD0309" w:rsidRDefault="00B10C15" w:rsidP="00BD0309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</w:p>
    <w:p w:rsidR="00B10C15" w:rsidRPr="00BD0309" w:rsidRDefault="00B10C15" w:rsidP="00BD0309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Приказ </w:t>
      </w:r>
      <w:proofErr w:type="spellStart"/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28.07.2014 № 803 «Об утверждении федерального государственного образовательного стандарта среднего профессионального образования по специальности 09.02.0</w:t>
      </w:r>
      <w:r w:rsidR="00BD0309" w:rsidRPr="00BD0309">
        <w:rPr>
          <w:rFonts w:eastAsia="Calibri"/>
          <w:color w:val="auto"/>
          <w:w w:val="100"/>
          <w:sz w:val="24"/>
          <w:szCs w:val="24"/>
          <w:lang w:eastAsia="en-US"/>
        </w:rPr>
        <w:t>3Программирование в компьютерных системах</w:t>
      </w:r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>» (</w:t>
      </w:r>
      <w:r w:rsidR="00BD0309" w:rsidRPr="00BD0309">
        <w:rPr>
          <w:color w:val="auto"/>
          <w:w w:val="100"/>
          <w:sz w:val="24"/>
          <w:szCs w:val="24"/>
        </w:rPr>
        <w:t>Зарегистрировано в Минюсте России 21 августа 2014 г. N 33733</w:t>
      </w:r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>);</w:t>
      </w:r>
    </w:p>
    <w:p w:rsidR="00B10C15" w:rsidRPr="00BD0309" w:rsidRDefault="00B10C15" w:rsidP="00B10C15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>При составлении учебного плана учитывались:</w:t>
      </w:r>
    </w:p>
    <w:p w:rsidR="00B10C15" w:rsidRPr="00BD0309" w:rsidRDefault="00B10C15" w:rsidP="00B10C15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>Постановление Главного государственного санитарного врача РФ от 29.12.2010 N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N 19993)</w:t>
      </w:r>
    </w:p>
    <w:p w:rsidR="00B10C15" w:rsidRPr="00BD0309" w:rsidRDefault="00B10C15" w:rsidP="00B10C15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 xml:space="preserve">Письмо </w:t>
      </w:r>
      <w:proofErr w:type="spellStart"/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>Минобрнауки</w:t>
      </w:r>
      <w:proofErr w:type="spellEnd"/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r w:rsidRPr="00BD0309">
        <w:rPr>
          <w:rFonts w:eastAsia="Calibri"/>
          <w:color w:val="auto"/>
          <w:w w:val="100"/>
          <w:sz w:val="24"/>
          <w:szCs w:val="24"/>
          <w:lang w:eastAsia="en-US"/>
        </w:rPr>
        <w:tab/>
      </w:r>
    </w:p>
    <w:p w:rsidR="00B10C15" w:rsidRPr="00CD6B7B" w:rsidRDefault="00B10C15" w:rsidP="00B10C15">
      <w:pPr>
        <w:ind w:firstLine="709"/>
        <w:contextualSpacing/>
        <w:jc w:val="center"/>
        <w:rPr>
          <w:rFonts w:eastAsia="Calibri"/>
          <w:bCs/>
          <w:i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Общие сведения</w:t>
      </w:r>
    </w:p>
    <w:p w:rsidR="00B10C15" w:rsidRPr="00CD6B7B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Учебный год начинается 1 сентября и заканчивается в соответствии с учебным планом образовательной программы.</w:t>
      </w:r>
    </w:p>
    <w:p w:rsidR="00B10C15" w:rsidRPr="00CD6B7B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Обучение ведется по шестидневной учебной неделе. </w:t>
      </w:r>
    </w:p>
    <w:p w:rsidR="00B10C15" w:rsidRPr="00CD6B7B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Для всех видов аудиторных занятий академический час устанавливается продолжительностью 45 минут </w:t>
      </w:r>
    </w:p>
    <w:p w:rsidR="00B10C15" w:rsidRPr="00CD6B7B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lastRenderedPageBreak/>
        <w:t>Объем обязательных аудиторных занятий составляет 36 академических часов в неделю.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10C15" w:rsidRPr="00CD6B7B" w:rsidRDefault="00BD0309" w:rsidP="00CD6B7B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В связи с тем, что образовательная программа реализуется только 1 год 10 месяцев, то при составлении учебного плана </w:t>
      </w:r>
      <w:r w:rsidR="00CD6B7B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учитывался учебный план филиала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 в г. </w:t>
      </w:r>
      <w:proofErr w:type="spellStart"/>
      <w:r w:rsidR="00CD6B7B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Дальнегорскепо</w:t>
      </w:r>
      <w:proofErr w:type="spellEnd"/>
      <w:r w:rsidR="00CD6B7B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специальности среднего профессионального образования 09.02.03 Программирование в компьютерных системах. В связи с этим данный учебный план </w:t>
      </w:r>
      <w:r w:rsidR="00B10C15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предусматривает изучение следующих учебных циклов:</w:t>
      </w:r>
    </w:p>
    <w:p w:rsidR="00B10C15" w:rsidRPr="00CD6B7B" w:rsidRDefault="00B10C15" w:rsidP="00B10C15">
      <w:pPr>
        <w:numPr>
          <w:ilvl w:val="0"/>
          <w:numId w:val="3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общего гуманитарного и социально-экономического;</w:t>
      </w:r>
    </w:p>
    <w:p w:rsidR="00B10C15" w:rsidRPr="00CD6B7B" w:rsidRDefault="00B10C15" w:rsidP="00B10C15">
      <w:pPr>
        <w:numPr>
          <w:ilvl w:val="0"/>
          <w:numId w:val="3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профессионального;</w:t>
      </w:r>
    </w:p>
    <w:p w:rsidR="00B10C15" w:rsidRPr="00CD6B7B" w:rsidRDefault="00B10C15" w:rsidP="00B10C15">
      <w:pPr>
        <w:ind w:left="284" w:firstLine="425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и разделов:</w:t>
      </w:r>
    </w:p>
    <w:p w:rsidR="00B10C15" w:rsidRPr="00CD6B7B" w:rsidRDefault="00B10C15" w:rsidP="00B10C15">
      <w:pPr>
        <w:numPr>
          <w:ilvl w:val="0"/>
          <w:numId w:val="3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учебная практика;</w:t>
      </w:r>
    </w:p>
    <w:p w:rsidR="00B10C15" w:rsidRPr="00CD6B7B" w:rsidRDefault="00B10C15" w:rsidP="00B10C15">
      <w:pPr>
        <w:numPr>
          <w:ilvl w:val="0"/>
          <w:numId w:val="3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производственная практика (по профилю специальности);</w:t>
      </w:r>
    </w:p>
    <w:p w:rsidR="00B10C15" w:rsidRPr="00CD6B7B" w:rsidRDefault="00B10C15" w:rsidP="00B10C15">
      <w:pPr>
        <w:numPr>
          <w:ilvl w:val="0"/>
          <w:numId w:val="3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производственная практика (преддипломная);</w:t>
      </w:r>
    </w:p>
    <w:p w:rsidR="00B10C15" w:rsidRPr="00CD6B7B" w:rsidRDefault="00B10C15" w:rsidP="00B10C15">
      <w:pPr>
        <w:numPr>
          <w:ilvl w:val="0"/>
          <w:numId w:val="3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промежуточная аттестация;</w:t>
      </w:r>
    </w:p>
    <w:p w:rsidR="00B10C15" w:rsidRPr="00CD6B7B" w:rsidRDefault="00B10C15" w:rsidP="00B10C15">
      <w:pPr>
        <w:numPr>
          <w:ilvl w:val="0"/>
          <w:numId w:val="32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государственная итоговая аттестация.</w:t>
      </w:r>
    </w:p>
    <w:p w:rsidR="00B10C15" w:rsidRPr="00CD6B7B" w:rsidRDefault="00CD6B7B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Общий гуманитарный и социально-экономический </w:t>
      </w:r>
      <w:r w:rsidR="00B10C15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</w:t>
      </w: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ый</w:t>
      </w:r>
      <w:r w:rsidR="00B10C15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цикл предусматривает изучение следующих обязательных дисциплин: "Иностранный язык", "Физическая культура"</w:t>
      </w: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, "Психология общения"</w:t>
      </w:r>
      <w:r w:rsidR="00B10C15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B10C15" w:rsidRPr="00CD6B7B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Общий объем дисциплины "Физическая культура" составляет </w:t>
      </w:r>
      <w:r w:rsidR="00CD6B7B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193</w:t>
      </w: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часа. Дисциплина "Физическая культура" предусматривает еженедельно обязательны</w:t>
      </w:r>
      <w:r w:rsidR="00CD6B7B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е</w:t>
      </w: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аудиторны</w:t>
      </w:r>
      <w:r w:rsidR="00CD6B7B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е</w:t>
      </w: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заняти</w:t>
      </w:r>
      <w:r w:rsidR="00CD6B7B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я</w:t>
      </w: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proofErr w:type="gramStart"/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и </w:t>
      </w:r>
      <w:r w:rsidR="00CD6B7B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часы</w:t>
      </w:r>
      <w:proofErr w:type="gramEnd"/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самостоятельной работы (за счет различных форм внеаудиторных занятий в спортивных клубах, секциях).</w:t>
      </w:r>
    </w:p>
    <w:p w:rsidR="00B10C15" w:rsidRPr="00CD6B7B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</w:t>
      </w:r>
    </w:p>
    <w:p w:rsidR="00B10C15" w:rsidRPr="00CD6B7B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Обязательная часть профессионального учебного цикла ППССЗ базовой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</w:t>
      </w:r>
      <w:r w:rsidR="00AF19AD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–</w:t>
      </w:r>
      <w:r w:rsidR="0066415D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48</w:t>
      </w: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академических часов. </w:t>
      </w:r>
    </w:p>
    <w:p w:rsidR="00B10C15" w:rsidRPr="00CD6B7B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производственная практика (по профилю специальности).</w:t>
      </w:r>
    </w:p>
    <w:p w:rsidR="00B10C15" w:rsidRPr="00CD6B7B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рассредоточенно</w:t>
      </w:r>
      <w:proofErr w:type="spellEnd"/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, чередуясь с теоретическими занятиями в рамках профессиональных модулей.</w:t>
      </w:r>
    </w:p>
    <w:p w:rsidR="00B10C15" w:rsidRPr="00CD6B7B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Практика запланирована в объеме </w:t>
      </w:r>
      <w:r w:rsidR="00CD6B7B"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18</w:t>
      </w: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недель из расчета 36 академических часов в неделю.</w:t>
      </w:r>
    </w:p>
    <w:p w:rsidR="00B10C15" w:rsidRPr="00CD6B7B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Учебная практика по специальности реализуется в рамках профессиональных модулей ОПОП СПО по основным видам профессиональной деятельности.</w:t>
      </w:r>
    </w:p>
    <w:p w:rsidR="00B10C15" w:rsidRPr="00334AD3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CD6B7B">
        <w:rPr>
          <w:rFonts w:eastAsia="Calibri"/>
          <w:bCs/>
          <w:color w:val="auto"/>
          <w:w w:val="100"/>
          <w:sz w:val="24"/>
          <w:szCs w:val="24"/>
          <w:lang w:eastAsia="en-US"/>
        </w:rPr>
        <w:t>Практика п</w:t>
      </w: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о профилю специальности реализуется в рамках профессиональных модулей ОПОП СПО по каждому из видов профессиональной деятельности.</w:t>
      </w:r>
    </w:p>
    <w:p w:rsidR="00B10C15" w:rsidRPr="00334AD3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B10C15" w:rsidRPr="00334AD3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Консультации для обучающихся распределены из расчета 4 часа на одного обучающегося на каждый учебный год.</w:t>
      </w:r>
    </w:p>
    <w:p w:rsidR="00B10C15" w:rsidRPr="00334AD3" w:rsidRDefault="00B10C15" w:rsidP="00B10C15">
      <w:pPr>
        <w:ind w:firstLine="709"/>
        <w:contextualSpacing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color w:val="auto"/>
          <w:w w:val="100"/>
          <w:sz w:val="24"/>
          <w:szCs w:val="24"/>
          <w:lang w:eastAsia="en-US"/>
        </w:rPr>
        <w:t xml:space="preserve">Каникулы запланированы в объеме </w:t>
      </w:r>
      <w:r w:rsidR="00CD6B7B" w:rsidRPr="00334AD3">
        <w:rPr>
          <w:rFonts w:eastAsia="Calibri"/>
          <w:color w:val="auto"/>
          <w:w w:val="100"/>
          <w:sz w:val="24"/>
          <w:szCs w:val="24"/>
          <w:lang w:eastAsia="en-US"/>
        </w:rPr>
        <w:t>12</w:t>
      </w:r>
      <w:r w:rsidRPr="00334AD3">
        <w:rPr>
          <w:rFonts w:eastAsia="Calibri"/>
          <w:color w:val="auto"/>
          <w:w w:val="100"/>
          <w:sz w:val="24"/>
          <w:szCs w:val="24"/>
          <w:lang w:eastAsia="en-US"/>
        </w:rPr>
        <w:t xml:space="preserve"> недел</w:t>
      </w:r>
      <w:r w:rsidR="00CD6B7B" w:rsidRPr="00334AD3">
        <w:rPr>
          <w:rFonts w:eastAsia="Calibri"/>
          <w:color w:val="auto"/>
          <w:w w:val="100"/>
          <w:sz w:val="24"/>
          <w:szCs w:val="24"/>
          <w:lang w:eastAsia="en-US"/>
        </w:rPr>
        <w:t xml:space="preserve">ь на </w:t>
      </w:r>
      <w:r w:rsidRPr="00334AD3">
        <w:rPr>
          <w:rFonts w:eastAsia="Calibri"/>
          <w:color w:val="auto"/>
          <w:w w:val="100"/>
          <w:sz w:val="24"/>
          <w:szCs w:val="24"/>
          <w:lang w:eastAsia="en-US"/>
        </w:rPr>
        <w:t>срок обучения</w:t>
      </w:r>
      <w:r w:rsidR="00CD0347">
        <w:rPr>
          <w:rFonts w:eastAsia="Calibri"/>
          <w:color w:val="auto"/>
          <w:w w:val="100"/>
          <w:sz w:val="24"/>
          <w:szCs w:val="24"/>
          <w:lang w:eastAsia="en-US"/>
        </w:rPr>
        <w:t xml:space="preserve"> в</w:t>
      </w:r>
      <w:r w:rsidR="00CD6B7B" w:rsidRPr="00334AD3">
        <w:rPr>
          <w:rFonts w:eastAsia="Calibri"/>
          <w:color w:val="auto"/>
          <w:w w:val="100"/>
          <w:sz w:val="24"/>
          <w:szCs w:val="24"/>
          <w:lang w:eastAsia="en-US"/>
        </w:rPr>
        <w:t xml:space="preserve"> краевом государственном автономном профессиональном </w:t>
      </w:r>
      <w:r w:rsidR="00CD0347" w:rsidRPr="00334AD3">
        <w:rPr>
          <w:rFonts w:eastAsia="Calibri"/>
          <w:color w:val="auto"/>
          <w:w w:val="100"/>
          <w:sz w:val="24"/>
          <w:szCs w:val="24"/>
          <w:lang w:eastAsia="en-US"/>
        </w:rPr>
        <w:t>образовательном</w:t>
      </w:r>
      <w:r w:rsidR="00CD6B7B" w:rsidRPr="00334AD3">
        <w:rPr>
          <w:rFonts w:eastAsia="Calibri"/>
          <w:color w:val="auto"/>
          <w:w w:val="100"/>
          <w:sz w:val="24"/>
          <w:szCs w:val="24"/>
          <w:lang w:eastAsia="en-US"/>
        </w:rPr>
        <w:t xml:space="preserve"> учреждении «</w:t>
      </w:r>
      <w:proofErr w:type="spellStart"/>
      <w:r w:rsidR="00CD6B7B" w:rsidRPr="00334AD3">
        <w:rPr>
          <w:rFonts w:eastAsia="Calibri"/>
          <w:color w:val="auto"/>
          <w:w w:val="100"/>
          <w:sz w:val="24"/>
          <w:szCs w:val="24"/>
          <w:lang w:eastAsia="en-US"/>
        </w:rPr>
        <w:t>Дальнегорский</w:t>
      </w:r>
      <w:proofErr w:type="spellEnd"/>
      <w:r w:rsidR="00CD6B7B" w:rsidRPr="00334AD3">
        <w:rPr>
          <w:rFonts w:eastAsia="Calibri"/>
          <w:color w:val="auto"/>
          <w:w w:val="100"/>
          <w:sz w:val="24"/>
          <w:szCs w:val="24"/>
          <w:lang w:eastAsia="en-US"/>
        </w:rPr>
        <w:t xml:space="preserve"> индустриально-технологический колледж»</w:t>
      </w:r>
      <w:r w:rsidRPr="00334AD3">
        <w:rPr>
          <w:rFonts w:eastAsia="Calibri"/>
          <w:color w:val="auto"/>
          <w:w w:val="100"/>
          <w:sz w:val="24"/>
          <w:szCs w:val="24"/>
          <w:lang w:eastAsia="en-US"/>
        </w:rPr>
        <w:t xml:space="preserve">, в том числе </w:t>
      </w:r>
      <w:r w:rsidR="00CD6B7B" w:rsidRPr="00334AD3">
        <w:rPr>
          <w:rFonts w:eastAsia="Calibri"/>
          <w:color w:val="auto"/>
          <w:w w:val="100"/>
          <w:sz w:val="24"/>
          <w:szCs w:val="24"/>
          <w:lang w:eastAsia="en-US"/>
        </w:rPr>
        <w:t>10</w:t>
      </w:r>
      <w:r w:rsidRPr="00334AD3">
        <w:rPr>
          <w:rFonts w:eastAsia="Calibri"/>
          <w:color w:val="auto"/>
          <w:w w:val="100"/>
          <w:sz w:val="24"/>
          <w:szCs w:val="24"/>
          <w:lang w:eastAsia="en-US"/>
        </w:rPr>
        <w:t xml:space="preserve"> недель на </w:t>
      </w:r>
      <w:r w:rsidR="00CD6B7B" w:rsidRPr="00334AD3">
        <w:rPr>
          <w:rFonts w:eastAsia="Calibri"/>
          <w:color w:val="auto"/>
          <w:w w:val="100"/>
          <w:sz w:val="24"/>
          <w:szCs w:val="24"/>
          <w:lang w:eastAsia="en-US"/>
        </w:rPr>
        <w:t>3 курсе и</w:t>
      </w:r>
      <w:r w:rsidRPr="00334AD3">
        <w:rPr>
          <w:rFonts w:eastAsia="Calibri"/>
          <w:color w:val="auto"/>
          <w:w w:val="100"/>
          <w:sz w:val="24"/>
          <w:szCs w:val="24"/>
          <w:lang w:eastAsia="en-US"/>
        </w:rPr>
        <w:t xml:space="preserve"> 2 недели на 4 курсе. В данное количество включаются обязательные 2 недели каникул в зимний период.</w:t>
      </w:r>
    </w:p>
    <w:p w:rsidR="0066415D" w:rsidRPr="00334AD3" w:rsidRDefault="0066415D" w:rsidP="00B10C15">
      <w:pPr>
        <w:ind w:firstLine="709"/>
        <w:contextualSpacing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B10C15" w:rsidRPr="00334AD3" w:rsidRDefault="00B10C15" w:rsidP="00B10C15">
      <w:pPr>
        <w:ind w:firstLine="709"/>
        <w:contextualSpacing/>
        <w:jc w:val="center"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Порядок аттестации обучающихся</w:t>
      </w:r>
    </w:p>
    <w:p w:rsidR="00B10C15" w:rsidRPr="00334AD3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Оценка качества освоения ППССЗ включает текущий контроль успеваемости, промежуточную и государственную итоговую аттестации обучающихся.</w:t>
      </w:r>
    </w:p>
    <w:p w:rsidR="00B10C15" w:rsidRPr="00334AD3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преподавателями в рабочих учебных программах и доводятся до сведения обучающихся в течение первых двух месяцев от начала обучения.</w:t>
      </w:r>
    </w:p>
    <w:p w:rsidR="00B10C15" w:rsidRPr="00334AD3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10C15" w:rsidRPr="00334AD3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преподавателями и утве</w:t>
      </w:r>
      <w:r w:rsidR="00334AD3"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рждаются заместителем директора, </w:t>
      </w: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а для государственной итоговой аттестации – разрабатываются и утверждаются после предварительного положительного заключения работодателей.</w:t>
      </w:r>
    </w:p>
    <w:p w:rsidR="00B10C15" w:rsidRPr="00334AD3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</w:t>
      </w:r>
    </w:p>
    <w:p w:rsidR="00B10C15" w:rsidRPr="00334AD3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Оценка качества подготовки обучающихся и выпускников осуществляется в двух основных направлениях:</w:t>
      </w:r>
    </w:p>
    <w:p w:rsidR="00B10C15" w:rsidRPr="00334AD3" w:rsidRDefault="00B10C15" w:rsidP="00B10C15">
      <w:pPr>
        <w:numPr>
          <w:ilvl w:val="0"/>
          <w:numId w:val="35"/>
        </w:numPr>
        <w:spacing w:after="200" w:line="276" w:lineRule="auto"/>
        <w:ind w:left="284" w:hanging="218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оценка уровня освоения дисциплин;</w:t>
      </w:r>
    </w:p>
    <w:p w:rsidR="00B10C15" w:rsidRPr="00334AD3" w:rsidRDefault="00B10C15" w:rsidP="00B10C15">
      <w:pPr>
        <w:numPr>
          <w:ilvl w:val="0"/>
          <w:numId w:val="35"/>
        </w:numPr>
        <w:spacing w:after="200" w:line="276" w:lineRule="auto"/>
        <w:ind w:left="284" w:hanging="218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оценка компетенций обучающихся.</w:t>
      </w:r>
    </w:p>
    <w:p w:rsidR="00B10C15" w:rsidRPr="00334AD3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Для юношей предусматривается оценка результатов освоения основ военной службы.</w:t>
      </w:r>
    </w:p>
    <w:p w:rsidR="00B10C15" w:rsidRPr="00334AD3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Промежуточная аттестация проводится в следующих формах: </w:t>
      </w:r>
    </w:p>
    <w:p w:rsidR="0066415D" w:rsidRPr="00334AD3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экзамен по учебной дисциплине, междисциплинарному курсу;</w:t>
      </w:r>
    </w:p>
    <w:p w:rsidR="0066415D" w:rsidRPr="00334AD3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комплексный экзамен по учебным дисциплинам, междисциплинарным курсам;</w:t>
      </w:r>
    </w:p>
    <w:p w:rsidR="0066415D" w:rsidRPr="00334AD3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экзамен (квалификационный) по профессиональному модулю;</w:t>
      </w:r>
    </w:p>
    <w:p w:rsidR="0066415D" w:rsidRPr="00334AD3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курсовой проект (работа);</w:t>
      </w:r>
    </w:p>
    <w:p w:rsidR="0066415D" w:rsidRPr="00334AD3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контрольная работа;</w:t>
      </w:r>
    </w:p>
    <w:p w:rsidR="0066415D" w:rsidRPr="00334AD3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проверочная работа по практике по специальности/профессии; </w:t>
      </w:r>
    </w:p>
    <w:p w:rsidR="0066415D" w:rsidRPr="00334AD3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зачет по учебной дисциплине</w:t>
      </w:r>
    </w:p>
    <w:p w:rsidR="0066415D" w:rsidRPr="00334AD3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комплексный зачет по учебным дисциплинам;</w:t>
      </w:r>
    </w:p>
    <w:p w:rsidR="0066415D" w:rsidRPr="00334AD3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дифференцированный зачет по учебной дисциплине, междисциплинарному курсу, практике;</w:t>
      </w:r>
    </w:p>
    <w:p w:rsidR="0066415D" w:rsidRPr="00334AD3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комплексный дифференцированный зачет по учебным дисциплинам, междисциплинарным курсам, практикам;</w:t>
      </w:r>
    </w:p>
    <w:p w:rsidR="00B10C15" w:rsidRPr="00334AD3" w:rsidRDefault="0066415D" w:rsidP="0066415D">
      <w:pPr>
        <w:numPr>
          <w:ilvl w:val="0"/>
          <w:numId w:val="36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итоговая оценка по дисциплине, выставляемая на основании оценок текущего контроля знаний, обучающихся в течение семестра.</w:t>
      </w:r>
    </w:p>
    <w:p w:rsidR="00B10C15" w:rsidRPr="00334AD3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Количество экзаменов в процессе промежуточной аттестации обучающихся не превышает 8 экзаменов в учебном году, а количество зачетов </w:t>
      </w:r>
      <w:r w:rsidR="0066415D"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>–</w:t>
      </w: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10. В указанное количество не входят экзамены и зачеты по физической культуре. </w:t>
      </w:r>
    </w:p>
    <w:p w:rsidR="00B10C15" w:rsidRPr="00334AD3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334AD3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Промежуточная аттестация проводится по мере вычитки предметов, дисциплин, модулей. Конкретные сроки проведения промежуточной аттестации могут смещаться внутри семестра относительно календарного графика и определяются расписанием. </w:t>
      </w:r>
    </w:p>
    <w:p w:rsidR="00B10C15" w:rsidRPr="001D5D17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1D5D17">
        <w:rPr>
          <w:rFonts w:eastAsia="Calibri"/>
          <w:bCs/>
          <w:color w:val="auto"/>
          <w:w w:val="100"/>
          <w:sz w:val="24"/>
          <w:szCs w:val="24"/>
          <w:lang w:eastAsia="en-US"/>
        </w:rPr>
        <w:t>С целью оптимизации учебного процесса в промежуточную аттестацию включён комплексный вид промежуточной аттестации:</w:t>
      </w:r>
    </w:p>
    <w:p w:rsidR="00B10C15" w:rsidRPr="001D5D17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222"/>
        <w:gridCol w:w="5954"/>
      </w:tblGrid>
      <w:tr w:rsidR="001D5D17" w:rsidRPr="001D5D17" w:rsidTr="006F0099">
        <w:trPr>
          <w:trHeight w:val="750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B10C15" w:rsidRPr="001D5D17" w:rsidRDefault="00B10C15" w:rsidP="00B10C15">
            <w:pPr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lastRenderedPageBreak/>
              <w:t>Наименование комплексного вида контроля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10C15" w:rsidRPr="001D5D17" w:rsidRDefault="00B10C15" w:rsidP="00B10C15">
            <w:pPr>
              <w:ind w:right="81" w:firstLine="53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10C15" w:rsidRPr="001D5D17" w:rsidRDefault="00B10C15" w:rsidP="00B10C15">
            <w:pPr>
              <w:ind w:hanging="13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Объединенные для ПА элементы программы</w:t>
            </w:r>
          </w:p>
        </w:tc>
      </w:tr>
      <w:tr w:rsidR="001D5D17" w:rsidRPr="001D5D17" w:rsidTr="006F0099">
        <w:trPr>
          <w:trHeight w:val="285"/>
          <w:jc w:val="center"/>
        </w:trPr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B10C15" w:rsidRPr="001D5D17" w:rsidRDefault="00B10C15" w:rsidP="001D5D17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Комплексный </w:t>
            </w:r>
            <w:proofErr w:type="spellStart"/>
            <w:r w:rsidR="001D5D17"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диф.зачет</w:t>
            </w:r>
            <w:proofErr w:type="spellEnd"/>
          </w:p>
        </w:tc>
        <w:tc>
          <w:tcPr>
            <w:tcW w:w="1222" w:type="dxa"/>
            <w:vMerge w:val="restart"/>
            <w:shd w:val="clear" w:color="auto" w:fill="auto"/>
            <w:noWrap/>
            <w:vAlign w:val="center"/>
            <w:hideMark/>
          </w:tcPr>
          <w:p w:rsidR="00B10C15" w:rsidRPr="001D5D17" w:rsidRDefault="001D5D17" w:rsidP="00B10C15">
            <w:pPr>
              <w:ind w:right="81" w:firstLine="53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B10C15" w:rsidRPr="001D5D17" w:rsidRDefault="001D5D17" w:rsidP="00B10C15">
            <w:pPr>
              <w:ind w:hanging="13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ПП.01 Производственная практика</w:t>
            </w:r>
          </w:p>
        </w:tc>
      </w:tr>
      <w:tr w:rsidR="001D5D17" w:rsidRPr="001D5D17" w:rsidTr="006F0099">
        <w:trPr>
          <w:trHeight w:val="285"/>
          <w:jc w:val="center"/>
        </w:trPr>
        <w:tc>
          <w:tcPr>
            <w:tcW w:w="2180" w:type="dxa"/>
            <w:vMerge/>
            <w:shd w:val="clear" w:color="auto" w:fill="auto"/>
            <w:vAlign w:val="center"/>
            <w:hideMark/>
          </w:tcPr>
          <w:p w:rsidR="001D5D17" w:rsidRPr="001D5D17" w:rsidRDefault="001D5D17" w:rsidP="00B10C15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  <w:hideMark/>
          </w:tcPr>
          <w:p w:rsidR="001D5D17" w:rsidRPr="001D5D17" w:rsidRDefault="001D5D17" w:rsidP="00B10C15">
            <w:pPr>
              <w:ind w:right="81" w:firstLine="53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D5D17" w:rsidRPr="001D5D17" w:rsidRDefault="001D5D17" w:rsidP="008B0D9F">
            <w:pPr>
              <w:ind w:hanging="13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ПП.03 Производственная практика</w:t>
            </w:r>
          </w:p>
        </w:tc>
      </w:tr>
      <w:tr w:rsidR="001D5D17" w:rsidRPr="001D5D17" w:rsidTr="006F0099">
        <w:trPr>
          <w:trHeight w:val="285"/>
          <w:jc w:val="center"/>
        </w:trPr>
        <w:tc>
          <w:tcPr>
            <w:tcW w:w="2180" w:type="dxa"/>
            <w:vMerge w:val="restart"/>
            <w:shd w:val="clear" w:color="auto" w:fill="auto"/>
            <w:vAlign w:val="center"/>
          </w:tcPr>
          <w:p w:rsidR="001D5D17" w:rsidRPr="001D5D17" w:rsidRDefault="001D5D17" w:rsidP="00B10C15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Комплексный </w:t>
            </w:r>
            <w:proofErr w:type="spellStart"/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диф.зачет</w:t>
            </w:r>
            <w:proofErr w:type="spellEnd"/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1D5D17" w:rsidRPr="001D5D17" w:rsidRDefault="001D5D17" w:rsidP="00B10C15">
            <w:pPr>
              <w:ind w:right="81" w:firstLine="53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1D5D17" w:rsidRPr="001D5D17" w:rsidRDefault="001D5D17" w:rsidP="008B0D9F">
            <w:pPr>
              <w:ind w:hanging="13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ПП.02 Производственная практика</w:t>
            </w:r>
          </w:p>
        </w:tc>
      </w:tr>
      <w:tr w:rsidR="001D5D17" w:rsidRPr="001D5D17" w:rsidTr="001D5D17">
        <w:trPr>
          <w:trHeight w:val="101"/>
          <w:jc w:val="center"/>
        </w:trPr>
        <w:tc>
          <w:tcPr>
            <w:tcW w:w="2180" w:type="dxa"/>
            <w:vMerge/>
            <w:shd w:val="clear" w:color="auto" w:fill="auto"/>
            <w:vAlign w:val="center"/>
          </w:tcPr>
          <w:p w:rsidR="001D5D17" w:rsidRPr="001D5D17" w:rsidRDefault="001D5D17" w:rsidP="00B10C15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1D5D17" w:rsidRPr="001D5D17" w:rsidRDefault="001D5D17" w:rsidP="00B10C15">
            <w:pPr>
              <w:ind w:right="81" w:firstLine="53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D5D17" w:rsidRPr="001D5D17" w:rsidRDefault="001D5D17" w:rsidP="001D5D17">
            <w:pPr>
              <w:ind w:hanging="13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ПП.03 Производственная практика</w:t>
            </w:r>
          </w:p>
        </w:tc>
      </w:tr>
      <w:tr w:rsidR="001D5D17" w:rsidRPr="001D5D17" w:rsidTr="001D5D17">
        <w:trPr>
          <w:trHeight w:val="106"/>
          <w:jc w:val="center"/>
        </w:trPr>
        <w:tc>
          <w:tcPr>
            <w:tcW w:w="2180" w:type="dxa"/>
            <w:vMerge/>
            <w:shd w:val="clear" w:color="auto" w:fill="auto"/>
            <w:vAlign w:val="center"/>
          </w:tcPr>
          <w:p w:rsidR="001D5D17" w:rsidRPr="001D5D17" w:rsidRDefault="001D5D17" w:rsidP="00B10C15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1D5D17" w:rsidRPr="001D5D17" w:rsidRDefault="001D5D17" w:rsidP="00B10C15">
            <w:pPr>
              <w:ind w:right="81" w:firstLine="53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D5D17" w:rsidRPr="001D5D17" w:rsidRDefault="001D5D17" w:rsidP="001D5D17">
            <w:pPr>
              <w:ind w:hanging="13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ПП.04 Производственная практика</w:t>
            </w:r>
          </w:p>
        </w:tc>
      </w:tr>
      <w:tr w:rsidR="001D5D17" w:rsidRPr="001D5D17" w:rsidTr="001D5D17">
        <w:trPr>
          <w:trHeight w:val="106"/>
          <w:jc w:val="center"/>
        </w:trPr>
        <w:tc>
          <w:tcPr>
            <w:tcW w:w="2180" w:type="dxa"/>
            <w:vMerge w:val="restart"/>
            <w:shd w:val="clear" w:color="auto" w:fill="auto"/>
            <w:vAlign w:val="center"/>
          </w:tcPr>
          <w:p w:rsidR="001D5D17" w:rsidRPr="001D5D17" w:rsidRDefault="001D5D17" w:rsidP="00B10C15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Комплексный экзамен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1D5D17" w:rsidRPr="001D5D17" w:rsidRDefault="001D5D17" w:rsidP="00B10C15">
            <w:pPr>
              <w:ind w:right="81" w:firstLine="53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1D5D17" w:rsidRPr="001D5D17" w:rsidRDefault="001D5D17" w:rsidP="001D5D17">
            <w:pPr>
              <w:ind w:hanging="13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ПМ.02 Разработка и администрирование баз данных</w:t>
            </w:r>
          </w:p>
        </w:tc>
      </w:tr>
      <w:tr w:rsidR="001D5D17" w:rsidRPr="001D5D17" w:rsidTr="001D5D17">
        <w:trPr>
          <w:trHeight w:val="106"/>
          <w:jc w:val="center"/>
        </w:trPr>
        <w:tc>
          <w:tcPr>
            <w:tcW w:w="2180" w:type="dxa"/>
            <w:vMerge/>
            <w:shd w:val="clear" w:color="auto" w:fill="auto"/>
            <w:vAlign w:val="center"/>
          </w:tcPr>
          <w:p w:rsidR="001D5D17" w:rsidRPr="001D5D17" w:rsidRDefault="001D5D17" w:rsidP="00B10C15">
            <w:pPr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1D5D17" w:rsidRPr="001D5D17" w:rsidRDefault="001D5D17" w:rsidP="00B10C15">
            <w:pPr>
              <w:ind w:right="81" w:firstLine="53"/>
              <w:contextualSpacing/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1D5D17" w:rsidRPr="001D5D17" w:rsidRDefault="001D5D17" w:rsidP="001D5D17">
            <w:pPr>
              <w:ind w:hanging="13"/>
              <w:contextualSpacing/>
              <w:jc w:val="both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1D5D1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ПМ.03 Участие в интеграции программных модулей</w:t>
            </w:r>
          </w:p>
        </w:tc>
      </w:tr>
    </w:tbl>
    <w:p w:rsidR="00B10C15" w:rsidRPr="005F1B49" w:rsidRDefault="00B10C15" w:rsidP="00B10C15">
      <w:pPr>
        <w:ind w:firstLine="709"/>
        <w:contextualSpacing/>
        <w:jc w:val="both"/>
        <w:rPr>
          <w:rFonts w:eastAsia="Calibri"/>
          <w:bCs/>
          <w:color w:val="FF0000"/>
          <w:w w:val="100"/>
          <w:sz w:val="24"/>
          <w:szCs w:val="24"/>
          <w:lang w:eastAsia="en-US"/>
        </w:rPr>
      </w:pPr>
    </w:p>
    <w:p w:rsidR="00B10C15" w:rsidRPr="001D5D17" w:rsidRDefault="00B10C15" w:rsidP="00B10C15">
      <w:pPr>
        <w:ind w:firstLine="709"/>
        <w:contextualSpacing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1D5D17">
        <w:rPr>
          <w:rFonts w:eastAsia="Calibri"/>
          <w:bCs/>
          <w:color w:val="auto"/>
          <w:w w:val="100"/>
          <w:sz w:val="24"/>
          <w:szCs w:val="24"/>
          <w:lang w:eastAsia="en-US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B10C15" w:rsidRPr="005F1B49" w:rsidRDefault="00B10C15" w:rsidP="00B10C15">
      <w:pPr>
        <w:ind w:firstLine="709"/>
        <w:contextualSpacing/>
        <w:jc w:val="both"/>
        <w:rPr>
          <w:rFonts w:ascii="Calibri" w:eastAsia="Calibri" w:hAnsi="Calibri"/>
          <w:color w:val="FF0000"/>
          <w:w w:val="100"/>
          <w:sz w:val="22"/>
          <w:szCs w:val="22"/>
          <w:lang w:eastAsia="en-US"/>
        </w:rPr>
      </w:pPr>
    </w:p>
    <w:p w:rsidR="00B10C15" w:rsidRPr="005F1B49" w:rsidRDefault="00B10C15" w:rsidP="00A878B4">
      <w:pPr>
        <w:ind w:left="-142"/>
        <w:rPr>
          <w:b/>
          <w:color w:val="FF0000"/>
          <w:w w:val="100"/>
        </w:rPr>
      </w:pPr>
      <w:r w:rsidRPr="005F1B49">
        <w:rPr>
          <w:b/>
          <w:color w:val="FF0000"/>
          <w:w w:val="100"/>
        </w:rPr>
        <w:br w:type="page"/>
      </w:r>
    </w:p>
    <w:p w:rsidR="00B10C15" w:rsidRPr="005F1B49" w:rsidRDefault="00B10C15" w:rsidP="00DF2256">
      <w:pPr>
        <w:ind w:left="851"/>
        <w:rPr>
          <w:b/>
          <w:color w:val="FF0000"/>
          <w:w w:val="100"/>
        </w:rPr>
        <w:sectPr w:rsidR="00B10C15" w:rsidRPr="005F1B49" w:rsidSect="00B10C15">
          <w:pgSz w:w="11906" w:h="16838"/>
          <w:pgMar w:top="851" w:right="709" w:bottom="851" w:left="1418" w:header="0" w:footer="0" w:gutter="0"/>
          <w:cols w:space="708"/>
          <w:titlePg/>
          <w:docGrid w:linePitch="360"/>
        </w:sectPr>
      </w:pPr>
    </w:p>
    <w:p w:rsidR="0066415D" w:rsidRPr="005F1B49" w:rsidRDefault="0066415D" w:rsidP="0066415D">
      <w:pPr>
        <w:contextualSpacing/>
        <w:jc w:val="center"/>
        <w:rPr>
          <w:rFonts w:eastAsia="Calibri"/>
          <w:b/>
          <w:color w:val="FF0000"/>
          <w:w w:val="100"/>
          <w:sz w:val="20"/>
          <w:lang w:eastAsia="en-US"/>
        </w:rPr>
      </w:pPr>
    </w:p>
    <w:p w:rsidR="0066415D" w:rsidRPr="00334AD3" w:rsidRDefault="0066415D" w:rsidP="009F2AC2">
      <w:pPr>
        <w:pStyle w:val="af4"/>
        <w:numPr>
          <w:ilvl w:val="0"/>
          <w:numId w:val="43"/>
        </w:numPr>
        <w:jc w:val="center"/>
        <w:rPr>
          <w:rFonts w:eastAsia="Calibri"/>
          <w:b/>
          <w:lang w:eastAsia="en-US"/>
        </w:rPr>
      </w:pPr>
      <w:r w:rsidRPr="00334AD3">
        <w:rPr>
          <w:rFonts w:eastAsia="Calibri"/>
          <w:b/>
          <w:lang w:eastAsia="en-US"/>
        </w:rPr>
        <w:t>Календарный учебный график</w:t>
      </w:r>
    </w:p>
    <w:p w:rsidR="009F2AC2" w:rsidRPr="009F2AC2" w:rsidRDefault="009F2AC2" w:rsidP="009F2AC2">
      <w:pPr>
        <w:pStyle w:val="af4"/>
        <w:rPr>
          <w:rFonts w:eastAsia="Calibri"/>
          <w:b/>
          <w:lang w:eastAsia="en-US"/>
        </w:rPr>
      </w:pPr>
    </w:p>
    <w:p w:rsidR="00B36DF4" w:rsidRDefault="009B1467" w:rsidP="0066415D">
      <w:pPr>
        <w:contextualSpacing/>
        <w:jc w:val="center"/>
        <w:rPr>
          <w:rFonts w:eastAsia="Calibri"/>
          <w:noProof/>
          <w:color w:val="FF0000"/>
        </w:rPr>
      </w:pPr>
      <w:r w:rsidRPr="009B1467">
        <w:rPr>
          <w:rFonts w:eastAsia="Calibri"/>
          <w:noProof/>
        </w:rPr>
        <w:drawing>
          <wp:inline distT="0" distB="0" distL="0" distR="0">
            <wp:extent cx="10331450" cy="30846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308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A7" w:rsidRDefault="00EF75A7" w:rsidP="0066415D">
      <w:pPr>
        <w:contextualSpacing/>
        <w:jc w:val="center"/>
        <w:rPr>
          <w:rFonts w:eastAsia="Calibri"/>
          <w:noProof/>
          <w:color w:val="FF0000"/>
        </w:rPr>
      </w:pPr>
    </w:p>
    <w:p w:rsidR="00EF75A7" w:rsidRPr="005F1B49" w:rsidRDefault="00EF75A7" w:rsidP="0066415D">
      <w:pPr>
        <w:contextualSpacing/>
        <w:jc w:val="center"/>
        <w:rPr>
          <w:rFonts w:eastAsia="Calibri"/>
          <w:b/>
          <w:color w:val="FF0000"/>
          <w:w w:val="100"/>
          <w:sz w:val="12"/>
          <w:lang w:eastAsia="en-US"/>
        </w:rPr>
      </w:pPr>
    </w:p>
    <w:p w:rsidR="0066415D" w:rsidRPr="005F1B49" w:rsidRDefault="0066415D" w:rsidP="0066415D">
      <w:pPr>
        <w:contextualSpacing/>
        <w:jc w:val="center"/>
        <w:rPr>
          <w:rFonts w:eastAsia="Calibri"/>
          <w:b/>
          <w:color w:val="FF0000"/>
          <w:w w:val="100"/>
          <w:sz w:val="16"/>
          <w:lang w:eastAsia="en-US"/>
        </w:rPr>
      </w:pPr>
    </w:p>
    <w:p w:rsidR="00B36DF4" w:rsidRDefault="00B36DF4" w:rsidP="00053608">
      <w:pPr>
        <w:pStyle w:val="af4"/>
        <w:numPr>
          <w:ilvl w:val="0"/>
          <w:numId w:val="30"/>
        </w:numPr>
        <w:jc w:val="center"/>
        <w:rPr>
          <w:rFonts w:eastAsia="Calibri"/>
          <w:b/>
          <w:lang w:eastAsia="en-US"/>
        </w:rPr>
      </w:pPr>
      <w:r w:rsidRPr="00053608">
        <w:rPr>
          <w:rFonts w:eastAsia="Calibri"/>
          <w:b/>
          <w:lang w:eastAsia="en-US"/>
        </w:rPr>
        <w:t>Сводные данные по бюджету времени</w:t>
      </w:r>
    </w:p>
    <w:p w:rsidR="00053608" w:rsidRPr="00053608" w:rsidRDefault="00053608" w:rsidP="00053608">
      <w:pPr>
        <w:pStyle w:val="af4"/>
        <w:rPr>
          <w:rFonts w:eastAsia="Calibri"/>
          <w:b/>
          <w:lang w:eastAsia="en-US"/>
        </w:rPr>
      </w:pPr>
    </w:p>
    <w:p w:rsidR="009F2AC2" w:rsidRDefault="009B1467" w:rsidP="009B1467">
      <w:pPr>
        <w:pStyle w:val="af4"/>
        <w:ind w:left="0"/>
        <w:jc w:val="center"/>
        <w:rPr>
          <w:rFonts w:eastAsia="Calibri"/>
          <w:b/>
          <w:color w:val="FF0000"/>
          <w:lang w:eastAsia="en-US"/>
        </w:rPr>
      </w:pPr>
      <w:r w:rsidRPr="009B1467">
        <w:rPr>
          <w:rFonts w:eastAsia="Calibri"/>
          <w:noProof/>
        </w:rPr>
        <w:drawing>
          <wp:inline distT="0" distB="0" distL="0" distR="0">
            <wp:extent cx="9908540" cy="15284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54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AC2">
        <w:rPr>
          <w:rFonts w:eastAsia="Calibri"/>
          <w:b/>
          <w:color w:val="FF0000"/>
          <w:lang w:eastAsia="en-US"/>
        </w:rPr>
        <w:br w:type="page"/>
      </w:r>
    </w:p>
    <w:p w:rsidR="00060789" w:rsidRPr="00CA7703" w:rsidRDefault="00B36DF4" w:rsidP="00B36DF4">
      <w:pPr>
        <w:pStyle w:val="af4"/>
        <w:rPr>
          <w:b/>
          <w:sz w:val="22"/>
        </w:rPr>
      </w:pPr>
      <w:r>
        <w:rPr>
          <w:b/>
          <w:szCs w:val="28"/>
        </w:rPr>
        <w:lastRenderedPageBreak/>
        <w:t xml:space="preserve">8. </w:t>
      </w:r>
      <w:r w:rsidR="005F1B49">
        <w:rPr>
          <w:b/>
          <w:szCs w:val="28"/>
        </w:rPr>
        <w:t>Индивидуальный п</w:t>
      </w:r>
      <w:r w:rsidR="000C4689" w:rsidRPr="00CA7703">
        <w:rPr>
          <w:b/>
          <w:szCs w:val="28"/>
        </w:rPr>
        <w:t>лан учебного процесса</w:t>
      </w:r>
      <w:r w:rsidR="00DF2256" w:rsidRPr="00CA7703">
        <w:rPr>
          <w:b/>
          <w:szCs w:val="28"/>
        </w:rPr>
        <w:t>09.02.0</w:t>
      </w:r>
      <w:r w:rsidR="005F1B49">
        <w:rPr>
          <w:b/>
          <w:szCs w:val="28"/>
        </w:rPr>
        <w:t>3Программирование в компьютерных системах</w:t>
      </w:r>
      <w:r w:rsidR="00060789" w:rsidRPr="00CA7703">
        <w:rPr>
          <w:b/>
        </w:rPr>
        <w:t>2019/202</w:t>
      </w:r>
      <w:r w:rsidR="005F1B49">
        <w:rPr>
          <w:b/>
        </w:rPr>
        <w:t>1</w:t>
      </w:r>
      <w:r w:rsidR="00060789" w:rsidRPr="00CA7703">
        <w:rPr>
          <w:b/>
        </w:rPr>
        <w:t>уч.год.</w:t>
      </w:r>
    </w:p>
    <w:tbl>
      <w:tblPr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277"/>
        <w:gridCol w:w="4382"/>
        <w:gridCol w:w="498"/>
        <w:gridCol w:w="498"/>
        <w:gridCol w:w="516"/>
        <w:gridCol w:w="516"/>
        <w:gridCol w:w="710"/>
        <w:gridCol w:w="696"/>
        <w:gridCol w:w="672"/>
        <w:gridCol w:w="750"/>
        <w:gridCol w:w="927"/>
        <w:gridCol w:w="808"/>
        <w:gridCol w:w="807"/>
        <w:gridCol w:w="753"/>
        <w:gridCol w:w="850"/>
      </w:tblGrid>
      <w:tr w:rsidR="00AC4CA3" w:rsidRPr="00AC4CA3" w:rsidTr="00AC4CA3">
        <w:trPr>
          <w:trHeight w:val="945"/>
          <w:jc w:val="center"/>
        </w:trPr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Индекс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Наименование циклов дисциплин, профессиональных модулей, МДК, практик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Распределение обязательной нагрузки п</w:t>
            </w:r>
            <w:r>
              <w:rPr>
                <w:b/>
                <w:w w:val="100"/>
                <w:sz w:val="24"/>
                <w:szCs w:val="24"/>
              </w:rPr>
              <w:t xml:space="preserve">о курсам и семестрам </w:t>
            </w:r>
            <w:r w:rsidRPr="00AC4CA3">
              <w:rPr>
                <w:b/>
                <w:w w:val="100"/>
                <w:sz w:val="24"/>
                <w:szCs w:val="24"/>
              </w:rPr>
              <w:t>(час в семестр)</w:t>
            </w:r>
          </w:p>
        </w:tc>
      </w:tr>
      <w:tr w:rsidR="00AC4CA3" w:rsidRPr="00AC4CA3" w:rsidTr="00AC4CA3">
        <w:trPr>
          <w:trHeight w:val="585"/>
          <w:jc w:val="center"/>
        </w:trPr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экзамен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CA3" w:rsidRPr="00AC4CA3" w:rsidRDefault="00AC4CA3" w:rsidP="00791969">
            <w:pPr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зачет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CA3" w:rsidRPr="00AC4CA3" w:rsidRDefault="00AC4CA3" w:rsidP="00791969">
            <w:pPr>
              <w:rPr>
                <w:b/>
                <w:w w:val="100"/>
                <w:sz w:val="24"/>
                <w:szCs w:val="24"/>
              </w:rPr>
            </w:pPr>
            <w:proofErr w:type="spellStart"/>
            <w:r w:rsidRPr="00AC4CA3">
              <w:rPr>
                <w:b/>
                <w:w w:val="100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CA3" w:rsidRPr="00AC4CA3" w:rsidRDefault="00AC4CA3" w:rsidP="00791969">
            <w:pPr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другие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4CA3" w:rsidRPr="00AC4CA3" w:rsidRDefault="00AC4CA3" w:rsidP="00791969">
            <w:pPr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курсовая работа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CA3" w:rsidRPr="00AC4CA3" w:rsidRDefault="00AC4CA3" w:rsidP="00791969">
            <w:pPr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максимальная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proofErr w:type="spellStart"/>
            <w:r w:rsidRPr="00AC4CA3">
              <w:rPr>
                <w:b/>
                <w:w w:val="100"/>
                <w:sz w:val="24"/>
                <w:szCs w:val="24"/>
              </w:rPr>
              <w:t>самостоят</w:t>
            </w:r>
            <w:proofErr w:type="spellEnd"/>
            <w:r w:rsidRPr="00AC4CA3">
              <w:rPr>
                <w:b/>
                <w:w w:val="100"/>
                <w:sz w:val="24"/>
                <w:szCs w:val="24"/>
              </w:rPr>
              <w:t>. работа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III курс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IV курс</w:t>
            </w:r>
          </w:p>
        </w:tc>
      </w:tr>
      <w:tr w:rsidR="00AC4CA3" w:rsidRPr="00AC4CA3" w:rsidTr="00AC4CA3">
        <w:trPr>
          <w:trHeight w:val="315"/>
          <w:jc w:val="center"/>
        </w:trPr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всего занятий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 xml:space="preserve">в </w:t>
            </w:r>
            <w:proofErr w:type="spellStart"/>
            <w:r w:rsidRPr="00AC4CA3">
              <w:rPr>
                <w:b/>
                <w:w w:val="100"/>
                <w:sz w:val="24"/>
                <w:szCs w:val="24"/>
              </w:rPr>
              <w:t>т.ч.лаб</w:t>
            </w:r>
            <w:proofErr w:type="spellEnd"/>
            <w:r w:rsidRPr="00AC4CA3">
              <w:rPr>
                <w:b/>
                <w:w w:val="100"/>
                <w:sz w:val="24"/>
                <w:szCs w:val="24"/>
              </w:rPr>
              <w:t>. и пр. занятий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5 семестр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6 семестр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7 семестр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AC4CA3">
              <w:rPr>
                <w:b/>
                <w:w w:val="100"/>
                <w:sz w:val="24"/>
                <w:szCs w:val="24"/>
              </w:rPr>
              <w:t>8 семестр</w:t>
            </w:r>
          </w:p>
        </w:tc>
      </w:tr>
      <w:tr w:rsidR="00AC4CA3" w:rsidRPr="00AC4CA3" w:rsidTr="00AC4CA3">
        <w:trPr>
          <w:trHeight w:val="1065"/>
          <w:jc w:val="center"/>
        </w:trPr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A3" w:rsidRPr="00AC4CA3" w:rsidRDefault="00AC4CA3" w:rsidP="00AC4CA3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AC4CA3" w:rsidRPr="00AC4CA3" w:rsidTr="00AC4CA3">
        <w:trPr>
          <w:trHeight w:val="147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ПП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3" w:rsidRPr="00AC4CA3" w:rsidRDefault="00AC4CA3" w:rsidP="00AC4CA3">
            <w:pPr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ПРОФЕССИОНАЛЬНАЯ ПОДГОВКА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99664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2</w:t>
            </w:r>
            <w:r w:rsidR="00996643">
              <w:rPr>
                <w:b/>
                <w:bCs/>
                <w:w w:val="100"/>
                <w:sz w:val="24"/>
                <w:szCs w:val="24"/>
              </w:rPr>
              <w:t>8</w:t>
            </w:r>
            <w:r w:rsidRPr="00AC4CA3">
              <w:rPr>
                <w:b/>
                <w:bCs/>
                <w:w w:val="100"/>
                <w:sz w:val="24"/>
                <w:szCs w:val="24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99664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9</w:t>
            </w:r>
            <w:r w:rsidR="00AC4CA3" w:rsidRPr="00AC4CA3">
              <w:rPr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1872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925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576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468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951AD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951AD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222</w:t>
            </w:r>
          </w:p>
        </w:tc>
      </w:tr>
      <w:tr w:rsidR="00AC4CA3" w:rsidRPr="00AC4CA3" w:rsidTr="00AC4CA3">
        <w:trPr>
          <w:trHeight w:val="155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ОГСЭ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A3" w:rsidRPr="00AC4CA3" w:rsidRDefault="00AC4CA3" w:rsidP="00AC4CA3">
            <w:pPr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AC4CA3">
              <w:rPr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AC4CA3">
              <w:rPr>
                <w:b/>
                <w:bCs/>
                <w:w w:val="100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337019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3</w:t>
            </w:r>
            <w:r w:rsidR="00337019">
              <w:rPr>
                <w:b/>
                <w:bCs/>
                <w:w w:val="100"/>
                <w:sz w:val="24"/>
                <w:szCs w:val="24"/>
              </w:rPr>
              <w:t>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337019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</w:t>
            </w:r>
            <w:r w:rsidR="00337019">
              <w:rPr>
                <w:b/>
                <w:bCs/>
                <w:w w:val="100"/>
                <w:sz w:val="24"/>
                <w:szCs w:val="24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247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92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48</w:t>
            </w:r>
          </w:p>
        </w:tc>
      </w:tr>
      <w:tr w:rsidR="00AC4CA3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ОГСЭ.03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3" w:rsidRPr="00AC4CA3" w:rsidRDefault="00AC4CA3" w:rsidP="00AC4CA3">
            <w:pPr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Иностранный язык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7C5BF1">
            <w:pPr>
              <w:ind w:right="-123" w:hanging="110"/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5-7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337019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</w:t>
            </w:r>
            <w:r w:rsidR="00337019">
              <w:rPr>
                <w:w w:val="100"/>
                <w:sz w:val="24"/>
                <w:szCs w:val="24"/>
              </w:rPr>
              <w:t>3</w:t>
            </w:r>
            <w:r w:rsidRPr="00AC4CA3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337019" w:rsidP="00AC4CA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  <w:r w:rsidR="00AC4CA3" w:rsidRPr="00AC4CA3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24</w:t>
            </w:r>
          </w:p>
        </w:tc>
      </w:tr>
      <w:tr w:rsidR="00AC4CA3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ОГСЭ.04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3" w:rsidRPr="00AC4CA3" w:rsidRDefault="00AC4CA3" w:rsidP="00AC4CA3">
            <w:pPr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7C5BF1">
            <w:pPr>
              <w:ind w:right="-123" w:hanging="110"/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5-7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337019" w:rsidP="00AC4CA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337019" w:rsidP="00AC4CA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24</w:t>
            </w:r>
          </w:p>
        </w:tc>
      </w:tr>
      <w:tr w:rsidR="00AC4CA3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ОГСЭ.06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3" w:rsidRPr="00AC4CA3" w:rsidRDefault="00AC4CA3" w:rsidP="00AC4CA3">
            <w:pPr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Психология общения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337019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4</w:t>
            </w:r>
            <w:r w:rsidR="00337019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337019" w:rsidP="00AC4CA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</w:tr>
      <w:tr w:rsidR="00AC4CA3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ПЦ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3" w:rsidRPr="00AC4CA3" w:rsidRDefault="00AC4CA3" w:rsidP="00AC4CA3">
            <w:pPr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Профессиональный цикл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99664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24</w:t>
            </w:r>
            <w:r w:rsidR="00996643">
              <w:rPr>
                <w:b/>
                <w:bCs/>
                <w:w w:val="100"/>
                <w:sz w:val="24"/>
                <w:szCs w:val="24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99664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796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1625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705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484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405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951AD7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5</w:t>
            </w:r>
            <w:r w:rsidR="00951AD7">
              <w:rPr>
                <w:b/>
                <w:bCs/>
                <w:w w:val="1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951AD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174</w:t>
            </w:r>
          </w:p>
        </w:tc>
      </w:tr>
      <w:tr w:rsidR="00AC4CA3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ОП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3" w:rsidRPr="00AC4CA3" w:rsidRDefault="00AC4CA3" w:rsidP="00AC4CA3">
            <w:pPr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99664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5</w:t>
            </w:r>
            <w:r w:rsidR="00996643">
              <w:rPr>
                <w:b/>
                <w:bCs/>
                <w:w w:val="100"/>
                <w:sz w:val="24"/>
                <w:szCs w:val="24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99664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</w:t>
            </w:r>
            <w:r w:rsidR="00996643">
              <w:rPr>
                <w:b/>
                <w:bCs/>
                <w:w w:val="100"/>
                <w:sz w:val="24"/>
                <w:szCs w:val="24"/>
              </w:rPr>
              <w:t>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366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D7" w:rsidRPr="00AC4CA3" w:rsidRDefault="00951AD7" w:rsidP="00951AD7">
            <w:pPr>
              <w:rPr>
                <w:b/>
                <w:bCs/>
                <w:w w:val="100"/>
                <w:sz w:val="24"/>
                <w:szCs w:val="24"/>
              </w:rPr>
            </w:pPr>
          </w:p>
        </w:tc>
      </w:tr>
      <w:tr w:rsidR="00AC4CA3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ОП.01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3" w:rsidRPr="00AC4CA3" w:rsidRDefault="00AC4CA3" w:rsidP="00AC4CA3">
            <w:pPr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Операционные системы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337019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</w:t>
            </w:r>
            <w:r w:rsidR="00337019">
              <w:rPr>
                <w:w w:val="100"/>
                <w:sz w:val="24"/>
                <w:szCs w:val="24"/>
              </w:rPr>
              <w:t>5</w:t>
            </w:r>
            <w:r w:rsidRPr="00AC4CA3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337019" w:rsidP="00AC4CA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  <w:r w:rsidR="00AC4CA3" w:rsidRPr="00AC4CA3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</w:tr>
      <w:tr w:rsidR="00AC4CA3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ОП.06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3" w:rsidRPr="00AC4CA3" w:rsidRDefault="00AC4CA3" w:rsidP="00AC4CA3">
            <w:pPr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Основы экономики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337019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11</w:t>
            </w:r>
            <w:r w:rsidR="00337019"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996643" w:rsidP="00AC4CA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</w:tr>
      <w:tr w:rsidR="00AC4CA3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ОП.07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A3" w:rsidRPr="00AC4CA3" w:rsidRDefault="00AC4CA3" w:rsidP="00AC4CA3">
            <w:pPr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337019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5</w:t>
            </w:r>
            <w:r w:rsidR="00337019"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337019" w:rsidP="00AC4CA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</w:tr>
      <w:tr w:rsidR="00AC4CA3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ОП.09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3" w:rsidRPr="00AC4CA3" w:rsidRDefault="00AC4CA3" w:rsidP="00AC4CA3">
            <w:pPr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337019" w:rsidP="00AC4CA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337019" w:rsidP="00AC4CA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</w:tr>
      <w:tr w:rsidR="00AC4CA3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ОП.13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3" w:rsidRPr="00AC4CA3" w:rsidRDefault="00AC4CA3" w:rsidP="00AC4CA3">
            <w:pPr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Интернет-технологии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337019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</w:t>
            </w:r>
            <w:r w:rsidR="00337019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337019" w:rsidP="00337019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</w:tr>
      <w:tr w:rsidR="00AC4CA3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ОП.14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3" w:rsidRPr="00AC4CA3" w:rsidRDefault="00AC4CA3" w:rsidP="00AC4CA3">
            <w:pPr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Мировые информационные ресурсы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337019" w:rsidP="00AC4CA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337019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</w:t>
            </w:r>
            <w:r w:rsidR="00337019"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</w:tr>
      <w:tr w:rsidR="00AC4CA3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ПМ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3" w:rsidRPr="00AC4CA3" w:rsidRDefault="00AC4CA3" w:rsidP="00AC4CA3">
            <w:pPr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99664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</w:t>
            </w:r>
            <w:r w:rsidR="00996643">
              <w:rPr>
                <w:b/>
                <w:bCs/>
                <w:w w:val="100"/>
                <w:sz w:val="24"/>
                <w:szCs w:val="24"/>
              </w:rPr>
              <w:t>871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99664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612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1259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549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338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262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951AD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951AD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174</w:t>
            </w:r>
          </w:p>
        </w:tc>
      </w:tr>
      <w:tr w:rsidR="00AC4CA3" w:rsidRPr="00AC4CA3" w:rsidTr="001D5D17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ПМ.01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A3" w:rsidRPr="00AC4CA3" w:rsidRDefault="00AC4CA3" w:rsidP="00AC4CA3">
            <w:pPr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Разработка программных модулей программного обеспечения для компьютерных систем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99664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3</w:t>
            </w:r>
            <w:r w:rsidR="00996643">
              <w:rPr>
                <w:b/>
                <w:bCs/>
                <w:w w:val="100"/>
                <w:sz w:val="24"/>
                <w:szCs w:val="24"/>
              </w:rPr>
              <w:t>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99664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248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174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CA3" w:rsidRPr="00AC4CA3" w:rsidRDefault="00AC4CA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</w:tr>
      <w:tr w:rsidR="00AC4CA3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МДК.01.01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A3" w:rsidRPr="00AC4CA3" w:rsidRDefault="00AC4CA3" w:rsidP="00AC4CA3">
            <w:pPr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Системное программирование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337019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</w:t>
            </w:r>
            <w:r w:rsidR="00337019">
              <w:rPr>
                <w:w w:val="100"/>
                <w:sz w:val="24"/>
                <w:szCs w:val="24"/>
              </w:rPr>
              <w:t>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337019" w:rsidP="00AC4CA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92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</w:tr>
      <w:tr w:rsidR="00AC4CA3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both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МДК.01.02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A3" w:rsidRPr="00AC4CA3" w:rsidRDefault="00AC4CA3" w:rsidP="00AC4CA3">
            <w:pPr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Прикладное программирование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337019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</w:t>
            </w:r>
            <w:r w:rsidR="00337019">
              <w:rPr>
                <w:w w:val="100"/>
                <w:sz w:val="24"/>
                <w:szCs w:val="24"/>
              </w:rPr>
              <w:t>5</w:t>
            </w:r>
            <w:r w:rsidRPr="00AC4CA3"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337019" w:rsidP="00AC4CA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  <w:r w:rsidR="00AC4CA3" w:rsidRPr="00AC4CA3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116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82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A3" w:rsidRPr="00AC4CA3" w:rsidRDefault="00AC4CA3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</w:tr>
      <w:tr w:rsidR="001D5D17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both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УП.01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17" w:rsidRPr="00AC4CA3" w:rsidRDefault="001D5D17" w:rsidP="00AC4CA3">
            <w:pPr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17" w:rsidRPr="00AC4CA3" w:rsidRDefault="001D5D17" w:rsidP="00AC4CA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C4CA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1D5D17" w:rsidRDefault="001D5D17" w:rsidP="008B0D9F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1D5D17">
              <w:rPr>
                <w:b/>
                <w:i/>
                <w:iCs/>
                <w:w w:val="100"/>
                <w:sz w:val="24"/>
                <w:szCs w:val="24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1D5D17" w:rsidRDefault="001D5D17" w:rsidP="00AC4CA3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1D5D17">
              <w:rPr>
                <w:b/>
                <w:i/>
                <w:iCs/>
                <w:w w:val="100"/>
                <w:sz w:val="24"/>
                <w:szCs w:val="24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AC4CA3">
              <w:rPr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AC4CA3">
              <w:rPr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AC4CA3">
              <w:rPr>
                <w:i/>
                <w:iCs/>
                <w:w w:val="100"/>
                <w:sz w:val="24"/>
                <w:szCs w:val="24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AC4CA3">
              <w:rPr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AC4CA3">
              <w:rPr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1D5D17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both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ПП.01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17" w:rsidRPr="00AC4CA3" w:rsidRDefault="001D5D17" w:rsidP="00AC4CA3">
            <w:pPr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17" w:rsidRPr="00AC4CA3" w:rsidRDefault="001D5D17" w:rsidP="00AC4CA3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C4CA3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D02B3A" w:rsidRDefault="00D02B3A" w:rsidP="008B0D9F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108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D02B3A" w:rsidRDefault="00D02B3A" w:rsidP="00AC4CA3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108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AC4CA3">
              <w:rPr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AC4CA3">
              <w:rPr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D02B3A" w:rsidRDefault="00D02B3A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>
              <w:rPr>
                <w:i/>
                <w:iCs/>
                <w:w w:val="100"/>
                <w:sz w:val="24"/>
                <w:szCs w:val="24"/>
              </w:rPr>
              <w:t>108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AC4CA3">
              <w:rPr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AC4CA3">
              <w:rPr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1D5D17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1D5D17" w:rsidRDefault="001D5D17" w:rsidP="00AC4CA3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1D5D17">
              <w:rPr>
                <w:i/>
                <w:w w:val="100"/>
                <w:sz w:val="24"/>
                <w:szCs w:val="24"/>
              </w:rPr>
              <w:t>ПМ.01.ЭК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17" w:rsidRPr="001D5D17" w:rsidRDefault="001D5D17" w:rsidP="00AC4CA3">
            <w:pPr>
              <w:rPr>
                <w:i/>
                <w:w w:val="100"/>
                <w:sz w:val="24"/>
                <w:szCs w:val="24"/>
              </w:rPr>
            </w:pPr>
            <w:r w:rsidRPr="001D5D17">
              <w:rPr>
                <w:i/>
                <w:w w:val="100"/>
                <w:sz w:val="24"/>
                <w:szCs w:val="24"/>
              </w:rPr>
              <w:t>Экзамен по модулю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1D5D17" w:rsidRDefault="001D5D17" w:rsidP="00AC4CA3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1D5D17">
              <w:rPr>
                <w:i/>
                <w:w w:val="1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D17" w:rsidRPr="00AC4CA3" w:rsidRDefault="001D5D17" w:rsidP="00AC4CA3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AC4CA3" w:rsidRDefault="001D5D17" w:rsidP="00AC4CA3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</w:p>
        </w:tc>
      </w:tr>
      <w:tr w:rsidR="001D5D17" w:rsidRPr="00AC4CA3" w:rsidTr="00AC4CA3">
        <w:trPr>
          <w:trHeight w:val="63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17" w:rsidRPr="00AC4CA3" w:rsidRDefault="001D5D17" w:rsidP="00AC4CA3">
            <w:pPr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Разработка и администрирование баз данных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996643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99664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</w:t>
            </w:r>
            <w:r w:rsidR="00996643">
              <w:rPr>
                <w:b/>
                <w:bCs/>
                <w:w w:val="100"/>
                <w:sz w:val="24"/>
                <w:szCs w:val="24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267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AC4CA3">
              <w:rPr>
                <w:b/>
                <w:bCs/>
                <w:w w:val="100"/>
                <w:sz w:val="24"/>
                <w:szCs w:val="24"/>
              </w:rPr>
              <w:t>35</w:t>
            </w:r>
          </w:p>
        </w:tc>
      </w:tr>
      <w:tr w:rsidR="001D5D17" w:rsidRPr="00AC4CA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both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МДК.02.01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17" w:rsidRPr="00AC4CA3" w:rsidRDefault="001D5D17" w:rsidP="00DF6C69">
            <w:pPr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Инфо</w:t>
            </w:r>
            <w:proofErr w:type="spellStart"/>
            <w:r>
              <w:rPr>
                <w:w w:val="100"/>
                <w:sz w:val="24"/>
                <w:szCs w:val="24"/>
                <w:lang w:val="en-US"/>
              </w:rPr>
              <w:t>коммуника</w:t>
            </w:r>
            <w:r w:rsidRPr="00AC4CA3">
              <w:rPr>
                <w:w w:val="100"/>
                <w:sz w:val="24"/>
                <w:szCs w:val="24"/>
              </w:rPr>
              <w:t>ционные</w:t>
            </w:r>
            <w:proofErr w:type="spellEnd"/>
            <w:r w:rsidRPr="00AC4CA3">
              <w:rPr>
                <w:w w:val="100"/>
                <w:sz w:val="24"/>
                <w:szCs w:val="24"/>
              </w:rPr>
              <w:t xml:space="preserve"> системы и сети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337019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9</w:t>
            </w:r>
            <w:r w:rsidR="00337019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337019" w:rsidP="00AC4CA3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AC4CA3" w:rsidRDefault="001D5D17" w:rsidP="00AC4CA3">
            <w:pPr>
              <w:jc w:val="center"/>
              <w:rPr>
                <w:w w:val="100"/>
                <w:sz w:val="24"/>
                <w:szCs w:val="24"/>
              </w:rPr>
            </w:pPr>
            <w:r w:rsidRPr="00AC4CA3">
              <w:rPr>
                <w:w w:val="100"/>
                <w:sz w:val="24"/>
                <w:szCs w:val="24"/>
              </w:rPr>
              <w:t> </w:t>
            </w:r>
          </w:p>
        </w:tc>
      </w:tr>
      <w:tr w:rsidR="001D5D17" w:rsidRPr="00334AD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МДК.02.02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17" w:rsidRPr="00334AD3" w:rsidRDefault="001D5D17" w:rsidP="00AC4CA3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Технология разработки и защиты баз данных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ind w:right="-136" w:hanging="131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5-7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337019" w:rsidP="0033701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337019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203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35</w:t>
            </w:r>
          </w:p>
        </w:tc>
      </w:tr>
      <w:tr w:rsidR="001D5D17" w:rsidRPr="00334AD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ПП.02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17" w:rsidRPr="00334AD3" w:rsidRDefault="001D5D17" w:rsidP="00AC4CA3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0E2AE5" w:rsidRDefault="000E2AE5" w:rsidP="00AC4CA3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>
              <w:rPr>
                <w:i/>
                <w:i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0E2AE5" w:rsidRDefault="000E2AE5" w:rsidP="00AC4CA3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>
              <w:rPr>
                <w:i/>
                <w:iCs/>
                <w:color w:val="auto"/>
                <w:w w:val="100"/>
                <w:sz w:val="24"/>
                <w:szCs w:val="24"/>
              </w:rPr>
              <w:t>108</w:t>
            </w:r>
          </w:p>
        </w:tc>
      </w:tr>
      <w:tr w:rsidR="001D5D17" w:rsidRPr="00334AD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1D5D17" w:rsidRDefault="001D5D17" w:rsidP="008B0D9F">
            <w:pPr>
              <w:jc w:val="both"/>
              <w:rPr>
                <w:i/>
                <w:w w:val="100"/>
                <w:sz w:val="24"/>
                <w:szCs w:val="24"/>
              </w:rPr>
            </w:pPr>
            <w:r>
              <w:rPr>
                <w:i/>
                <w:w w:val="100"/>
                <w:sz w:val="24"/>
                <w:szCs w:val="24"/>
              </w:rPr>
              <w:t>ПМ.02</w:t>
            </w:r>
            <w:r w:rsidRPr="001D5D17">
              <w:rPr>
                <w:i/>
                <w:w w:val="100"/>
                <w:sz w:val="24"/>
                <w:szCs w:val="24"/>
              </w:rPr>
              <w:t>.ЭК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D17" w:rsidRPr="001D5D17" w:rsidRDefault="001D5D17" w:rsidP="008B0D9F">
            <w:pPr>
              <w:rPr>
                <w:i/>
                <w:w w:val="100"/>
                <w:sz w:val="24"/>
                <w:szCs w:val="24"/>
              </w:rPr>
            </w:pPr>
            <w:r w:rsidRPr="001D5D17">
              <w:rPr>
                <w:i/>
                <w:w w:val="100"/>
                <w:sz w:val="24"/>
                <w:szCs w:val="24"/>
              </w:rPr>
              <w:t>Экзамен по модулю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1D5D17" w:rsidRDefault="001D5D17" w:rsidP="00AC4CA3">
            <w:pPr>
              <w:jc w:val="center"/>
              <w:rPr>
                <w:i/>
                <w:color w:val="auto"/>
                <w:w w:val="100"/>
                <w:sz w:val="24"/>
                <w:szCs w:val="24"/>
              </w:rPr>
            </w:pPr>
            <w:r w:rsidRPr="001D5D17">
              <w:rPr>
                <w:i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334AD3" w:rsidRDefault="001D5D17" w:rsidP="00AC4CA3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334AD3" w:rsidRDefault="001D5D17" w:rsidP="00AC4CA3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334AD3" w:rsidRDefault="001D5D17" w:rsidP="00AC4CA3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334AD3" w:rsidRDefault="001D5D17" w:rsidP="00AC4CA3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334AD3" w:rsidRDefault="001D5D17" w:rsidP="00AC4CA3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7" w:rsidRPr="00334AD3" w:rsidRDefault="001D5D17" w:rsidP="00AC4CA3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</w:p>
        </w:tc>
      </w:tr>
      <w:tr w:rsidR="001D5D17" w:rsidRPr="00334AD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ПМ.03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17" w:rsidRPr="00334AD3" w:rsidRDefault="001D5D17" w:rsidP="00AC4CA3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Участие в интеграции программных модулей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99664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7</w:t>
            </w:r>
            <w:r w:rsidR="00996643">
              <w:rPr>
                <w:b/>
                <w:bCs/>
                <w:color w:val="auto"/>
                <w:w w:val="100"/>
                <w:sz w:val="24"/>
                <w:szCs w:val="24"/>
              </w:rPr>
              <w:t>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99664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2</w:t>
            </w:r>
            <w:r w:rsidR="00996643">
              <w:rPr>
                <w:b/>
                <w:bCs/>
                <w:color w:val="auto"/>
                <w:w w:val="100"/>
                <w:sz w:val="24"/>
                <w:szCs w:val="24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522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151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92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951AD7" w:rsidP="00AC4CA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951AD7" w:rsidP="00AC4CA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97</w:t>
            </w:r>
          </w:p>
        </w:tc>
      </w:tr>
      <w:tr w:rsidR="001D5D17" w:rsidRPr="00334AD3" w:rsidTr="00AC4CA3">
        <w:trPr>
          <w:trHeight w:val="137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МДК.03.01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17" w:rsidRPr="00334AD3" w:rsidRDefault="001D5D17" w:rsidP="00AC4CA3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5,6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33701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</w:t>
            </w:r>
            <w:r w:rsidR="00337019">
              <w:rPr>
                <w:color w:val="auto"/>
                <w:w w:val="100"/>
                <w:sz w:val="24"/>
                <w:szCs w:val="24"/>
              </w:rPr>
              <w:t>5</w:t>
            </w:r>
            <w:r w:rsidRPr="00334AD3">
              <w:rPr>
                <w:color w:val="auto"/>
                <w:w w:val="100"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337019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  <w:r w:rsidR="001D5D17" w:rsidRPr="00334AD3">
              <w:rPr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1D5D17" w:rsidRPr="00334AD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МДК.03.02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17" w:rsidRPr="00334AD3" w:rsidRDefault="001D5D17" w:rsidP="00AC4CA3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3E11EA" w:rsidP="003E11EA">
            <w:pPr>
              <w:ind w:right="-83" w:hanging="184"/>
              <w:jc w:val="right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5-7</w:t>
            </w:r>
            <w:r w:rsidR="001D5D17"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337019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33701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</w:t>
            </w:r>
            <w:r w:rsidR="00337019">
              <w:rPr>
                <w:color w:val="auto"/>
                <w:w w:val="100"/>
                <w:sz w:val="24"/>
                <w:szCs w:val="24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339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951AD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951AD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97</w:t>
            </w:r>
          </w:p>
        </w:tc>
      </w:tr>
      <w:tr w:rsidR="001D5D17" w:rsidRPr="00334AD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МДК.03.03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D17" w:rsidRPr="00334AD3" w:rsidRDefault="001D5D17" w:rsidP="00AC4CA3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Документирование и сертификация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33701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</w:t>
            </w:r>
            <w:r w:rsidR="00337019">
              <w:rPr>
                <w:color w:val="auto"/>
                <w:w w:val="100"/>
                <w:sz w:val="24"/>
                <w:szCs w:val="24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33701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3</w:t>
            </w:r>
            <w:r w:rsidR="00337019">
              <w:rPr>
                <w:color w:val="auto"/>
                <w:w w:val="100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D17" w:rsidRPr="00334AD3" w:rsidRDefault="001D5D17" w:rsidP="00AC4CA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ПП.03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6,8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951AD7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>
              <w:rPr>
                <w:i/>
                <w:i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951AD7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>
              <w:rPr>
                <w:i/>
                <w:iCs/>
                <w:color w:val="auto"/>
                <w:w w:val="100"/>
                <w:sz w:val="24"/>
                <w:szCs w:val="24"/>
              </w:rPr>
              <w:t>72</w:t>
            </w: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1D5D17" w:rsidRDefault="00C646FC" w:rsidP="00C646FC">
            <w:pPr>
              <w:jc w:val="both"/>
              <w:rPr>
                <w:i/>
                <w:w w:val="100"/>
                <w:sz w:val="24"/>
                <w:szCs w:val="24"/>
              </w:rPr>
            </w:pPr>
            <w:r>
              <w:rPr>
                <w:i/>
                <w:w w:val="100"/>
                <w:sz w:val="24"/>
                <w:szCs w:val="24"/>
              </w:rPr>
              <w:t>ПМ.03</w:t>
            </w:r>
            <w:r w:rsidRPr="001D5D17">
              <w:rPr>
                <w:i/>
                <w:w w:val="100"/>
                <w:sz w:val="24"/>
                <w:szCs w:val="24"/>
              </w:rPr>
              <w:t>.ЭК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6FC" w:rsidRPr="001D5D17" w:rsidRDefault="00C646FC" w:rsidP="00C646FC">
            <w:pPr>
              <w:rPr>
                <w:i/>
                <w:w w:val="100"/>
                <w:sz w:val="24"/>
                <w:szCs w:val="24"/>
              </w:rPr>
            </w:pPr>
            <w:r w:rsidRPr="001D5D17">
              <w:rPr>
                <w:i/>
                <w:w w:val="100"/>
                <w:sz w:val="24"/>
                <w:szCs w:val="24"/>
              </w:rPr>
              <w:t>Экзамен по модулю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1D5D17" w:rsidRDefault="00C646FC" w:rsidP="00C646FC">
            <w:pPr>
              <w:jc w:val="center"/>
              <w:rPr>
                <w:i/>
                <w:color w:val="auto"/>
                <w:w w:val="100"/>
                <w:sz w:val="24"/>
                <w:szCs w:val="24"/>
              </w:rPr>
            </w:pPr>
            <w:r w:rsidRPr="001D5D17">
              <w:rPr>
                <w:i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ПМ.04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FC" w:rsidRPr="00334AD3" w:rsidRDefault="00C646FC" w:rsidP="00C646FC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996643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  <w:r w:rsidR="00996643">
              <w:rPr>
                <w:b/>
                <w:bCs/>
                <w:color w:val="auto"/>
                <w:w w:val="100"/>
                <w:sz w:val="24"/>
                <w:szCs w:val="24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996643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107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222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42</w:t>
            </w: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МДК.04.01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 xml:space="preserve">Выполнение </w:t>
            </w:r>
            <w:proofErr w:type="gramStart"/>
            <w:r w:rsidRPr="00334AD3">
              <w:rPr>
                <w:color w:val="auto"/>
                <w:w w:val="100"/>
                <w:sz w:val="24"/>
                <w:szCs w:val="24"/>
              </w:rPr>
              <w:t>работ  по</w:t>
            </w:r>
            <w:proofErr w:type="gramEnd"/>
            <w:r w:rsidRPr="00334AD3">
              <w:rPr>
                <w:color w:val="auto"/>
                <w:w w:val="100"/>
                <w:sz w:val="24"/>
                <w:szCs w:val="24"/>
              </w:rPr>
              <w:t xml:space="preserve"> профессии оператор ЭВМ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ind w:right="-136" w:hanging="131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5-7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33701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3</w:t>
            </w:r>
            <w:r w:rsidR="00337019">
              <w:rPr>
                <w:color w:val="auto"/>
                <w:w w:val="100"/>
                <w:sz w:val="24"/>
                <w:szCs w:val="24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337019" w:rsidP="0033701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222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42</w:t>
            </w: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УП.04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ПП.04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72</w:t>
            </w: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1D5D17" w:rsidRDefault="00C646FC" w:rsidP="00C646FC">
            <w:pPr>
              <w:jc w:val="both"/>
              <w:rPr>
                <w:i/>
                <w:w w:val="100"/>
                <w:sz w:val="24"/>
                <w:szCs w:val="24"/>
              </w:rPr>
            </w:pPr>
            <w:r>
              <w:rPr>
                <w:i/>
                <w:w w:val="100"/>
                <w:sz w:val="24"/>
                <w:szCs w:val="24"/>
              </w:rPr>
              <w:t>ПМ.04</w:t>
            </w:r>
            <w:r w:rsidRPr="001D5D17">
              <w:rPr>
                <w:i/>
                <w:w w:val="100"/>
                <w:sz w:val="24"/>
                <w:szCs w:val="24"/>
              </w:rPr>
              <w:t>.ЭК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6FC" w:rsidRPr="001D5D17" w:rsidRDefault="00C646FC" w:rsidP="00C646FC">
            <w:pPr>
              <w:rPr>
                <w:i/>
                <w:w w:val="100"/>
                <w:sz w:val="24"/>
                <w:szCs w:val="24"/>
              </w:rPr>
            </w:pPr>
            <w:r w:rsidRPr="001D5D17">
              <w:rPr>
                <w:i/>
                <w:w w:val="100"/>
                <w:sz w:val="24"/>
                <w:szCs w:val="24"/>
              </w:rPr>
              <w:t>Экзамен по модулю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1D5D17" w:rsidRDefault="00C646FC" w:rsidP="00C646FC">
            <w:pPr>
              <w:jc w:val="center"/>
              <w:rPr>
                <w:i/>
                <w:color w:val="auto"/>
                <w:w w:val="100"/>
                <w:sz w:val="24"/>
                <w:szCs w:val="24"/>
              </w:rPr>
            </w:pPr>
            <w:r w:rsidRPr="001D5D17">
              <w:rPr>
                <w:i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AC4CA3" w:rsidRDefault="00C646FC" w:rsidP="00C646FC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AC4CA3" w:rsidRDefault="00C646FC" w:rsidP="00C646FC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AC4CA3" w:rsidRDefault="00C646FC" w:rsidP="00C646FC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6FC" w:rsidRPr="00334AD3" w:rsidRDefault="00C646FC" w:rsidP="00C646FC">
            <w:pPr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Итого по обязательной части, включая раздел вариативной части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1D5D17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1D5D17">
              <w:rPr>
                <w:b/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532E8">
            <w:pPr>
              <w:ind w:right="-95" w:hanging="134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  <w:r w:rsidR="00C532E8">
              <w:rPr>
                <w:b/>
                <w:bCs/>
                <w:color w:val="auto"/>
                <w:w w:val="100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 </w:t>
            </w:r>
            <w:r w:rsidR="00C532E8">
              <w:rPr>
                <w:b/>
                <w:bCs/>
                <w:color w:val="auto"/>
                <w:w w:val="100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b/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2520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612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951AD7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792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951AD7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951AD7" w:rsidP="00C646FC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474</w:t>
            </w:r>
          </w:p>
        </w:tc>
      </w:tr>
      <w:tr w:rsidR="00C646FC" w:rsidRPr="00334AD3" w:rsidTr="00FD430D">
        <w:trPr>
          <w:trHeight w:val="6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Из них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FC" w:rsidRPr="00334AD3" w:rsidRDefault="00C646FC" w:rsidP="00C646FC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FD430D" w:rsidRDefault="00C646FC" w:rsidP="00C646FC">
            <w:pPr>
              <w:jc w:val="center"/>
              <w:rPr>
                <w:b/>
                <w:i/>
                <w:iCs/>
                <w:color w:val="auto"/>
                <w:w w:val="100"/>
                <w:sz w:val="24"/>
                <w:szCs w:val="24"/>
              </w:rPr>
            </w:pPr>
            <w:r w:rsidRPr="00FD430D">
              <w:rPr>
                <w:b/>
                <w:i/>
                <w:iCs/>
                <w:color w:val="auto"/>
                <w:w w:val="100"/>
                <w:sz w:val="24"/>
                <w:szCs w:val="24"/>
              </w:rPr>
              <w:t>648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FD430D" w:rsidRDefault="00C646FC" w:rsidP="00C646FC">
            <w:pPr>
              <w:jc w:val="center"/>
              <w:rPr>
                <w:b/>
                <w:i/>
                <w:iCs/>
                <w:color w:val="auto"/>
                <w:w w:val="100"/>
                <w:sz w:val="24"/>
                <w:szCs w:val="24"/>
              </w:rPr>
            </w:pPr>
            <w:r w:rsidRPr="00FD430D">
              <w:rPr>
                <w:b/>
                <w:i/>
                <w:iCs/>
                <w:color w:val="auto"/>
                <w:w w:val="100"/>
                <w:sz w:val="24"/>
                <w:szCs w:val="24"/>
              </w:rPr>
              <w:t>648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i/>
                <w:i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951AD7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>
              <w:rPr>
                <w:i/>
                <w:iCs/>
                <w:color w:val="auto"/>
                <w:w w:val="100"/>
                <w:sz w:val="24"/>
                <w:szCs w:val="24"/>
              </w:rPr>
              <w:t>324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951AD7" w:rsidRDefault="00951AD7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>
              <w:rPr>
                <w:i/>
                <w:iCs/>
                <w:color w:val="auto"/>
                <w:w w:val="100"/>
                <w:sz w:val="24"/>
                <w:szCs w:val="24"/>
              </w:rPr>
              <w:t>252</w:t>
            </w:r>
          </w:p>
        </w:tc>
      </w:tr>
      <w:tr w:rsidR="00C646FC" w:rsidRPr="00334AD3" w:rsidTr="003E11EA">
        <w:trPr>
          <w:trHeight w:val="6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FC" w:rsidRPr="00334AD3" w:rsidRDefault="00C646FC" w:rsidP="00C646FC">
            <w:pPr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ПДП.00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FC" w:rsidRPr="00334AD3" w:rsidRDefault="00C646FC" w:rsidP="00C646FC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FD430D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FD430D">
              <w:rPr>
                <w:i/>
                <w:i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FD430D" w:rsidRDefault="00C646FC" w:rsidP="00C646FC">
            <w:pPr>
              <w:jc w:val="center"/>
              <w:rPr>
                <w:i/>
                <w:color w:val="auto"/>
                <w:w w:val="100"/>
                <w:sz w:val="24"/>
                <w:szCs w:val="24"/>
              </w:rPr>
            </w:pPr>
            <w:r w:rsidRPr="00FD430D">
              <w:rPr>
                <w:i/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FD430D" w:rsidRDefault="00C646FC" w:rsidP="00C646FC">
            <w:pPr>
              <w:jc w:val="center"/>
              <w:rPr>
                <w:i/>
                <w:iCs/>
                <w:color w:val="auto"/>
                <w:w w:val="100"/>
                <w:sz w:val="24"/>
                <w:szCs w:val="24"/>
              </w:rPr>
            </w:pPr>
            <w:r w:rsidRPr="00FD430D">
              <w:rPr>
                <w:i/>
                <w:i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i/>
                <w:iCs/>
                <w:color w:val="auto"/>
                <w:w w:val="100"/>
                <w:sz w:val="24"/>
                <w:szCs w:val="24"/>
              </w:rPr>
              <w:t xml:space="preserve">4 </w:t>
            </w:r>
            <w:proofErr w:type="spellStart"/>
            <w:r w:rsidRPr="00334AD3">
              <w:rPr>
                <w:b/>
                <w:bCs/>
                <w:i/>
                <w:iCs/>
                <w:color w:val="auto"/>
                <w:w w:val="100"/>
                <w:sz w:val="24"/>
                <w:szCs w:val="24"/>
              </w:rPr>
              <w:t>нед</w:t>
            </w:r>
            <w:proofErr w:type="spellEnd"/>
            <w:r w:rsidRPr="00334AD3">
              <w:rPr>
                <w:b/>
                <w:bCs/>
                <w:i/>
                <w:iCs/>
                <w:color w:val="auto"/>
                <w:w w:val="100"/>
                <w:sz w:val="24"/>
                <w:szCs w:val="24"/>
              </w:rPr>
              <w:t>.</w:t>
            </w:r>
          </w:p>
        </w:tc>
      </w:tr>
      <w:tr w:rsidR="00C646FC" w:rsidRPr="00334AD3" w:rsidTr="00FD430D">
        <w:trPr>
          <w:trHeight w:val="60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ГИА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FC" w:rsidRPr="00334AD3" w:rsidRDefault="00C646FC" w:rsidP="00C646FC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i/>
                <w:iCs/>
                <w:color w:val="auto"/>
                <w:w w:val="100"/>
                <w:sz w:val="24"/>
                <w:szCs w:val="24"/>
              </w:rPr>
              <w:t xml:space="preserve">6 </w:t>
            </w:r>
            <w:proofErr w:type="spellStart"/>
            <w:r w:rsidRPr="00334AD3">
              <w:rPr>
                <w:b/>
                <w:bCs/>
                <w:i/>
                <w:iCs/>
                <w:color w:val="auto"/>
                <w:w w:val="100"/>
                <w:sz w:val="24"/>
                <w:szCs w:val="24"/>
              </w:rPr>
              <w:t>нед</w:t>
            </w:r>
            <w:proofErr w:type="spellEnd"/>
            <w:r w:rsidRPr="00334AD3">
              <w:rPr>
                <w:b/>
                <w:bCs/>
                <w:i/>
                <w:iCs/>
                <w:color w:val="auto"/>
                <w:w w:val="100"/>
                <w:sz w:val="24"/>
                <w:szCs w:val="24"/>
              </w:rPr>
              <w:t>.</w:t>
            </w: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77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Консультации на учебную </w:t>
            </w:r>
            <w:proofErr w:type="gramStart"/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>группу  100</w:t>
            </w:r>
            <w:proofErr w:type="gramEnd"/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 часов в год</w:t>
            </w:r>
            <w:r w:rsidRPr="00334AD3">
              <w:rPr>
                <w:color w:val="auto"/>
                <w:w w:val="100"/>
                <w:sz w:val="24"/>
                <w:szCs w:val="24"/>
              </w:rPr>
              <w:br/>
            </w:r>
            <w:r w:rsidRPr="00334AD3"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Государственная итоговая аттестация </w:t>
            </w:r>
            <w:r w:rsidRPr="00334AD3">
              <w:rPr>
                <w:color w:val="auto"/>
                <w:w w:val="100"/>
                <w:sz w:val="24"/>
                <w:szCs w:val="24"/>
              </w:rPr>
              <w:br/>
              <w:t xml:space="preserve">Выпускная квалификационная работа 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дисциплины и МДК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576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468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951AD7" w:rsidP="00C646FC">
            <w:pPr>
              <w:jc w:val="center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color w:val="auto"/>
                <w:w w:val="100"/>
                <w:sz w:val="24"/>
                <w:szCs w:val="24"/>
              </w:rPr>
              <w:t>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951AD7" w:rsidRDefault="00951AD7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222</w:t>
            </w: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77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77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951AD7" w:rsidRDefault="00FA220F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8B0D9F" w:rsidRDefault="008B0D9F" w:rsidP="00C646FC">
            <w:pPr>
              <w:jc w:val="center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  <w:r w:rsidR="000E2AE5">
              <w:rPr>
                <w:color w:val="auto"/>
                <w:w w:val="100"/>
                <w:sz w:val="24"/>
                <w:szCs w:val="24"/>
              </w:rPr>
              <w:t>52</w:t>
            </w: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77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экзамен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</w:t>
            </w: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77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6</w:t>
            </w: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77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зачет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</w:tr>
      <w:tr w:rsidR="00C646FC" w:rsidRPr="00334AD3" w:rsidTr="00AC4CA3">
        <w:trPr>
          <w:trHeight w:val="60"/>
          <w:jc w:val="center"/>
        </w:trPr>
        <w:tc>
          <w:tcPr>
            <w:tcW w:w="77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курсовой проект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FC" w:rsidRPr="00334AD3" w:rsidRDefault="00C646FC" w:rsidP="00C646FC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34AD3">
              <w:rPr>
                <w:color w:val="auto"/>
                <w:w w:val="100"/>
                <w:sz w:val="24"/>
                <w:szCs w:val="24"/>
              </w:rPr>
              <w:t>1</w:t>
            </w:r>
          </w:p>
        </w:tc>
      </w:tr>
    </w:tbl>
    <w:p w:rsidR="00AC4CA3" w:rsidRPr="00334AD3" w:rsidRDefault="00AC4CA3" w:rsidP="00F7018D">
      <w:pPr>
        <w:spacing w:line="360" w:lineRule="auto"/>
        <w:contextualSpacing/>
        <w:jc w:val="both"/>
        <w:rPr>
          <w:bCs/>
          <w:color w:val="auto"/>
          <w:w w:val="100"/>
          <w:sz w:val="18"/>
          <w:szCs w:val="20"/>
        </w:rPr>
        <w:sectPr w:rsidR="00AC4CA3" w:rsidRPr="00334AD3" w:rsidSect="00B10C15">
          <w:pgSz w:w="16838" w:h="11906" w:orient="landscape"/>
          <w:pgMar w:top="284" w:right="284" w:bottom="284" w:left="284" w:header="0" w:footer="0" w:gutter="0"/>
          <w:cols w:space="708"/>
          <w:titlePg/>
          <w:docGrid w:linePitch="360"/>
        </w:sectPr>
      </w:pPr>
    </w:p>
    <w:p w:rsidR="009C2573" w:rsidRPr="00287366" w:rsidRDefault="009C2573" w:rsidP="00334AD3">
      <w:pPr>
        <w:pStyle w:val="af4"/>
        <w:ind w:left="284"/>
        <w:jc w:val="center"/>
        <w:rPr>
          <w:b/>
          <w:sz w:val="28"/>
        </w:rPr>
      </w:pPr>
      <w:r w:rsidRPr="00287366">
        <w:rPr>
          <w:b/>
          <w:sz w:val="28"/>
        </w:rPr>
        <w:lastRenderedPageBreak/>
        <w:t>Перечень кабинетов, лабораторий, мастерских и других помещений</w:t>
      </w:r>
    </w:p>
    <w:p w:rsidR="00662C76" w:rsidRPr="00334AD3" w:rsidRDefault="00662C76" w:rsidP="00334AD3">
      <w:pPr>
        <w:pStyle w:val="af4"/>
        <w:ind w:left="284"/>
        <w:jc w:val="both"/>
      </w:pPr>
    </w:p>
    <w:p w:rsidR="009C2573" w:rsidRPr="00334AD3" w:rsidRDefault="009C2573" w:rsidP="00334AD3">
      <w:pPr>
        <w:pStyle w:val="af4"/>
        <w:ind w:left="284" w:firstLine="425"/>
        <w:jc w:val="both"/>
        <w:rPr>
          <w:b/>
        </w:rPr>
      </w:pPr>
      <w:r w:rsidRPr="00334AD3">
        <w:rPr>
          <w:b/>
        </w:rPr>
        <w:t>Кабинеты:</w:t>
      </w:r>
    </w:p>
    <w:p w:rsidR="009C2573" w:rsidRPr="00334AD3" w:rsidRDefault="009C2573" w:rsidP="009C2573">
      <w:pPr>
        <w:pStyle w:val="af4"/>
        <w:numPr>
          <w:ilvl w:val="0"/>
          <w:numId w:val="37"/>
        </w:numPr>
        <w:ind w:left="284" w:hanging="284"/>
        <w:jc w:val="both"/>
      </w:pPr>
      <w:r w:rsidRPr="00334AD3">
        <w:t>социально-экономических дисциплин;</w:t>
      </w:r>
    </w:p>
    <w:p w:rsidR="009C2573" w:rsidRPr="00334AD3" w:rsidRDefault="009C2573" w:rsidP="009C2573">
      <w:pPr>
        <w:pStyle w:val="af4"/>
        <w:numPr>
          <w:ilvl w:val="0"/>
          <w:numId w:val="37"/>
        </w:numPr>
        <w:ind w:left="284" w:hanging="284"/>
        <w:jc w:val="both"/>
      </w:pPr>
      <w:r w:rsidRPr="00334AD3">
        <w:t>иностранного языка (лингафонный);</w:t>
      </w:r>
    </w:p>
    <w:p w:rsidR="009C2573" w:rsidRPr="00334AD3" w:rsidRDefault="009C2573" w:rsidP="009C2573">
      <w:pPr>
        <w:pStyle w:val="af4"/>
        <w:numPr>
          <w:ilvl w:val="0"/>
          <w:numId w:val="37"/>
        </w:numPr>
        <w:ind w:left="284" w:hanging="284"/>
        <w:jc w:val="both"/>
      </w:pPr>
      <w:r w:rsidRPr="00334AD3">
        <w:t>математических дисциплин;</w:t>
      </w:r>
    </w:p>
    <w:p w:rsidR="00334AD3" w:rsidRPr="00334AD3" w:rsidRDefault="00334AD3" w:rsidP="00334AD3">
      <w:pPr>
        <w:pStyle w:val="af4"/>
        <w:numPr>
          <w:ilvl w:val="0"/>
          <w:numId w:val="37"/>
        </w:numPr>
        <w:ind w:left="284" w:hanging="284"/>
        <w:jc w:val="both"/>
      </w:pPr>
      <w:r w:rsidRPr="00334AD3">
        <w:t>стандартизации и сертификации;</w:t>
      </w:r>
    </w:p>
    <w:p w:rsidR="00334AD3" w:rsidRPr="00334AD3" w:rsidRDefault="00334AD3" w:rsidP="00334AD3">
      <w:pPr>
        <w:pStyle w:val="af4"/>
        <w:numPr>
          <w:ilvl w:val="0"/>
          <w:numId w:val="37"/>
        </w:numPr>
        <w:ind w:left="284" w:hanging="284"/>
        <w:jc w:val="both"/>
      </w:pPr>
      <w:r w:rsidRPr="00334AD3">
        <w:t>экономики и менеджмента;</w:t>
      </w:r>
    </w:p>
    <w:p w:rsidR="00334AD3" w:rsidRPr="00334AD3" w:rsidRDefault="00334AD3" w:rsidP="00334AD3">
      <w:pPr>
        <w:pStyle w:val="af4"/>
        <w:numPr>
          <w:ilvl w:val="0"/>
          <w:numId w:val="37"/>
        </w:numPr>
        <w:ind w:left="284" w:hanging="284"/>
        <w:jc w:val="both"/>
      </w:pPr>
      <w:r w:rsidRPr="00334AD3">
        <w:t>социальной психологии;</w:t>
      </w:r>
    </w:p>
    <w:p w:rsidR="009C2573" w:rsidRPr="00334AD3" w:rsidRDefault="00334AD3" w:rsidP="00334AD3">
      <w:pPr>
        <w:pStyle w:val="af4"/>
        <w:numPr>
          <w:ilvl w:val="0"/>
          <w:numId w:val="37"/>
        </w:numPr>
        <w:ind w:left="284" w:hanging="284"/>
        <w:jc w:val="both"/>
      </w:pPr>
      <w:r w:rsidRPr="00334AD3">
        <w:t>безопасности жизнедеятельности</w:t>
      </w:r>
      <w:r w:rsidR="009C2573" w:rsidRPr="00334AD3">
        <w:t>.</w:t>
      </w:r>
    </w:p>
    <w:p w:rsidR="00662C76" w:rsidRPr="00334AD3" w:rsidRDefault="00662C76" w:rsidP="009C2573">
      <w:pPr>
        <w:ind w:firstLine="709"/>
        <w:contextualSpacing/>
        <w:jc w:val="both"/>
        <w:rPr>
          <w:b/>
          <w:color w:val="auto"/>
          <w:sz w:val="24"/>
          <w:szCs w:val="24"/>
        </w:rPr>
      </w:pPr>
    </w:p>
    <w:p w:rsidR="009C2573" w:rsidRPr="00334AD3" w:rsidRDefault="009C2573" w:rsidP="009C2573">
      <w:pPr>
        <w:ind w:firstLine="709"/>
        <w:contextualSpacing/>
        <w:jc w:val="both"/>
        <w:rPr>
          <w:b/>
          <w:color w:val="auto"/>
          <w:w w:val="100"/>
          <w:sz w:val="24"/>
          <w:szCs w:val="24"/>
        </w:rPr>
      </w:pPr>
      <w:r w:rsidRPr="00334AD3">
        <w:rPr>
          <w:b/>
          <w:color w:val="auto"/>
          <w:w w:val="100"/>
          <w:sz w:val="24"/>
          <w:szCs w:val="24"/>
        </w:rPr>
        <w:t>Лаборатории:</w:t>
      </w:r>
    </w:p>
    <w:p w:rsidR="00334AD3" w:rsidRPr="00334AD3" w:rsidRDefault="00334AD3" w:rsidP="00334AD3">
      <w:pPr>
        <w:pStyle w:val="af4"/>
        <w:numPr>
          <w:ilvl w:val="0"/>
          <w:numId w:val="37"/>
        </w:numPr>
        <w:ind w:left="284" w:hanging="284"/>
        <w:jc w:val="both"/>
      </w:pPr>
      <w:r w:rsidRPr="00334AD3">
        <w:t xml:space="preserve">технологии разработки </w:t>
      </w:r>
      <w:proofErr w:type="gramStart"/>
      <w:r w:rsidRPr="00334AD3">
        <w:t>баз</w:t>
      </w:r>
      <w:proofErr w:type="gramEnd"/>
      <w:r w:rsidRPr="00334AD3">
        <w:t xml:space="preserve"> данных;</w:t>
      </w:r>
    </w:p>
    <w:p w:rsidR="00334AD3" w:rsidRPr="00334AD3" w:rsidRDefault="00334AD3" w:rsidP="00334AD3">
      <w:pPr>
        <w:pStyle w:val="af4"/>
        <w:numPr>
          <w:ilvl w:val="0"/>
          <w:numId w:val="37"/>
        </w:numPr>
        <w:ind w:left="284" w:hanging="284"/>
        <w:jc w:val="both"/>
      </w:pPr>
      <w:r w:rsidRPr="00334AD3">
        <w:t>системного и прикладного программирования;</w:t>
      </w:r>
    </w:p>
    <w:p w:rsidR="00334AD3" w:rsidRPr="00334AD3" w:rsidRDefault="00334AD3" w:rsidP="00334AD3">
      <w:pPr>
        <w:pStyle w:val="af4"/>
        <w:numPr>
          <w:ilvl w:val="0"/>
          <w:numId w:val="37"/>
        </w:numPr>
        <w:ind w:left="284" w:hanging="284"/>
        <w:jc w:val="both"/>
      </w:pPr>
      <w:r w:rsidRPr="00334AD3">
        <w:t>информационно-коммуникационных систем;</w:t>
      </w:r>
    </w:p>
    <w:p w:rsidR="009C2573" w:rsidRPr="00334AD3" w:rsidRDefault="00334AD3" w:rsidP="00334AD3">
      <w:pPr>
        <w:pStyle w:val="af4"/>
        <w:numPr>
          <w:ilvl w:val="0"/>
          <w:numId w:val="37"/>
        </w:numPr>
        <w:ind w:left="284" w:hanging="284"/>
        <w:jc w:val="both"/>
      </w:pPr>
      <w:r w:rsidRPr="00334AD3">
        <w:t>управления проектной деятельностью</w:t>
      </w:r>
      <w:r w:rsidR="009C2573" w:rsidRPr="00334AD3">
        <w:t>.</w:t>
      </w:r>
    </w:p>
    <w:p w:rsidR="00662C76" w:rsidRPr="00334AD3" w:rsidRDefault="00662C76" w:rsidP="009C2573">
      <w:pPr>
        <w:ind w:firstLine="709"/>
        <w:contextualSpacing/>
        <w:jc w:val="both"/>
        <w:rPr>
          <w:b/>
          <w:color w:val="auto"/>
          <w:sz w:val="24"/>
          <w:szCs w:val="24"/>
        </w:rPr>
      </w:pPr>
    </w:p>
    <w:p w:rsidR="009C2573" w:rsidRPr="00334AD3" w:rsidRDefault="009C2573" w:rsidP="009C2573">
      <w:pPr>
        <w:ind w:firstLine="709"/>
        <w:contextualSpacing/>
        <w:jc w:val="both"/>
        <w:rPr>
          <w:b/>
          <w:color w:val="auto"/>
          <w:w w:val="100"/>
          <w:sz w:val="24"/>
          <w:szCs w:val="24"/>
        </w:rPr>
      </w:pPr>
      <w:r w:rsidRPr="00334AD3">
        <w:rPr>
          <w:b/>
          <w:color w:val="auto"/>
          <w:w w:val="100"/>
          <w:sz w:val="24"/>
          <w:szCs w:val="24"/>
        </w:rPr>
        <w:t>Полигоны:</w:t>
      </w:r>
    </w:p>
    <w:p w:rsidR="00334AD3" w:rsidRPr="00334AD3" w:rsidRDefault="00334AD3" w:rsidP="00334AD3">
      <w:pPr>
        <w:pStyle w:val="af4"/>
        <w:numPr>
          <w:ilvl w:val="0"/>
          <w:numId w:val="37"/>
        </w:numPr>
        <w:ind w:left="284" w:hanging="284"/>
        <w:jc w:val="both"/>
      </w:pPr>
      <w:r w:rsidRPr="00334AD3">
        <w:t>вычислительной техники;</w:t>
      </w:r>
    </w:p>
    <w:p w:rsidR="00334AD3" w:rsidRPr="00334AD3" w:rsidRDefault="00334AD3" w:rsidP="00334AD3">
      <w:pPr>
        <w:pStyle w:val="af4"/>
        <w:numPr>
          <w:ilvl w:val="0"/>
          <w:numId w:val="37"/>
        </w:numPr>
        <w:ind w:left="284" w:hanging="284"/>
        <w:jc w:val="both"/>
      </w:pPr>
      <w:r w:rsidRPr="00334AD3">
        <w:t>учебных баз практики.</w:t>
      </w:r>
    </w:p>
    <w:p w:rsidR="00662C76" w:rsidRPr="00334AD3" w:rsidRDefault="00662C76" w:rsidP="009C2573">
      <w:pPr>
        <w:ind w:firstLine="709"/>
        <w:contextualSpacing/>
        <w:jc w:val="both"/>
        <w:rPr>
          <w:b/>
          <w:color w:val="auto"/>
          <w:sz w:val="24"/>
          <w:szCs w:val="24"/>
        </w:rPr>
      </w:pPr>
    </w:p>
    <w:p w:rsidR="009C2573" w:rsidRPr="00334AD3" w:rsidRDefault="00334AD3" w:rsidP="009C2573">
      <w:pPr>
        <w:ind w:firstLine="709"/>
        <w:contextualSpacing/>
        <w:jc w:val="both"/>
        <w:rPr>
          <w:b/>
          <w:color w:val="auto"/>
          <w:w w:val="100"/>
          <w:sz w:val="24"/>
          <w:szCs w:val="24"/>
        </w:rPr>
      </w:pPr>
      <w:r w:rsidRPr="00334AD3">
        <w:rPr>
          <w:b/>
          <w:color w:val="auto"/>
          <w:w w:val="100"/>
          <w:sz w:val="24"/>
          <w:szCs w:val="24"/>
        </w:rPr>
        <w:t>Тренажеры, тренажерные комплексы</w:t>
      </w:r>
      <w:r w:rsidR="009C2573" w:rsidRPr="00334AD3">
        <w:rPr>
          <w:b/>
          <w:color w:val="auto"/>
          <w:w w:val="100"/>
          <w:sz w:val="24"/>
          <w:szCs w:val="24"/>
        </w:rPr>
        <w:t>:</w:t>
      </w:r>
    </w:p>
    <w:p w:rsidR="009C2573" w:rsidRPr="00334AD3" w:rsidRDefault="00334AD3" w:rsidP="009C2573">
      <w:pPr>
        <w:pStyle w:val="af4"/>
        <w:numPr>
          <w:ilvl w:val="0"/>
          <w:numId w:val="41"/>
        </w:numPr>
        <w:ind w:left="284" w:hanging="284"/>
        <w:jc w:val="both"/>
      </w:pPr>
      <w:r w:rsidRPr="00334AD3">
        <w:t>тренажерный зал</w:t>
      </w:r>
      <w:r w:rsidR="009C2573" w:rsidRPr="00334AD3">
        <w:t>.</w:t>
      </w:r>
    </w:p>
    <w:p w:rsidR="00662C76" w:rsidRPr="00334AD3" w:rsidRDefault="00662C76" w:rsidP="009C2573">
      <w:pPr>
        <w:ind w:firstLine="709"/>
        <w:contextualSpacing/>
        <w:jc w:val="both"/>
        <w:rPr>
          <w:b/>
          <w:color w:val="auto"/>
          <w:sz w:val="24"/>
          <w:szCs w:val="24"/>
        </w:rPr>
      </w:pPr>
    </w:p>
    <w:p w:rsidR="009C2573" w:rsidRPr="00334AD3" w:rsidRDefault="009C2573" w:rsidP="009C2573">
      <w:pPr>
        <w:ind w:firstLine="709"/>
        <w:contextualSpacing/>
        <w:jc w:val="both"/>
        <w:rPr>
          <w:b/>
          <w:color w:val="auto"/>
          <w:w w:val="100"/>
          <w:sz w:val="24"/>
          <w:szCs w:val="24"/>
        </w:rPr>
      </w:pPr>
      <w:r w:rsidRPr="00334AD3">
        <w:rPr>
          <w:b/>
          <w:color w:val="auto"/>
          <w:w w:val="100"/>
          <w:sz w:val="24"/>
          <w:szCs w:val="24"/>
        </w:rPr>
        <w:t>Спортивный комплекс:</w:t>
      </w:r>
    </w:p>
    <w:p w:rsidR="009C2573" w:rsidRPr="00334AD3" w:rsidRDefault="009C2573" w:rsidP="009C2573">
      <w:pPr>
        <w:pStyle w:val="af4"/>
        <w:numPr>
          <w:ilvl w:val="0"/>
          <w:numId w:val="41"/>
        </w:numPr>
        <w:ind w:left="284" w:hanging="284"/>
        <w:jc w:val="both"/>
      </w:pPr>
      <w:r w:rsidRPr="00334AD3">
        <w:t>спортивный зал;</w:t>
      </w:r>
    </w:p>
    <w:p w:rsidR="009C2573" w:rsidRPr="00334AD3" w:rsidRDefault="009C2573" w:rsidP="009C2573">
      <w:pPr>
        <w:pStyle w:val="af4"/>
        <w:numPr>
          <w:ilvl w:val="0"/>
          <w:numId w:val="41"/>
        </w:numPr>
        <w:ind w:left="284" w:hanging="284"/>
        <w:jc w:val="both"/>
      </w:pPr>
      <w:r w:rsidRPr="00334AD3">
        <w:t>открытый стадион широкого профиля с элементами полосы препятствий;</w:t>
      </w:r>
    </w:p>
    <w:p w:rsidR="009C2573" w:rsidRPr="00334AD3" w:rsidRDefault="009C2573" w:rsidP="009C2573">
      <w:pPr>
        <w:pStyle w:val="af4"/>
        <w:numPr>
          <w:ilvl w:val="0"/>
          <w:numId w:val="41"/>
        </w:numPr>
        <w:ind w:left="284" w:hanging="284"/>
        <w:jc w:val="both"/>
      </w:pPr>
      <w:r w:rsidRPr="00334AD3">
        <w:t>стрелковый тир (в любой модификации, включая электронный) или место для стрельбы.</w:t>
      </w:r>
    </w:p>
    <w:p w:rsidR="00662C76" w:rsidRPr="00334AD3" w:rsidRDefault="00662C76" w:rsidP="009C2573">
      <w:pPr>
        <w:ind w:firstLine="709"/>
        <w:contextualSpacing/>
        <w:jc w:val="both"/>
        <w:rPr>
          <w:b/>
          <w:color w:val="auto"/>
          <w:sz w:val="24"/>
          <w:szCs w:val="24"/>
        </w:rPr>
      </w:pPr>
    </w:p>
    <w:p w:rsidR="009C2573" w:rsidRPr="00334AD3" w:rsidRDefault="009C2573" w:rsidP="009C2573">
      <w:pPr>
        <w:ind w:firstLine="709"/>
        <w:contextualSpacing/>
        <w:jc w:val="both"/>
        <w:rPr>
          <w:b/>
          <w:color w:val="auto"/>
          <w:w w:val="100"/>
          <w:sz w:val="24"/>
          <w:szCs w:val="24"/>
        </w:rPr>
      </w:pPr>
      <w:r w:rsidRPr="00334AD3">
        <w:rPr>
          <w:b/>
          <w:color w:val="auto"/>
          <w:w w:val="100"/>
          <w:sz w:val="24"/>
          <w:szCs w:val="24"/>
        </w:rPr>
        <w:t>Залы:</w:t>
      </w:r>
    </w:p>
    <w:p w:rsidR="009C2573" w:rsidRPr="00334AD3" w:rsidRDefault="009C2573" w:rsidP="009C2573">
      <w:pPr>
        <w:pStyle w:val="af4"/>
        <w:numPr>
          <w:ilvl w:val="0"/>
          <w:numId w:val="42"/>
        </w:numPr>
        <w:ind w:left="284" w:hanging="284"/>
        <w:jc w:val="both"/>
      </w:pPr>
      <w:r w:rsidRPr="00334AD3">
        <w:t>библиотека, читальный зал с выходом в сеть Интернет;</w:t>
      </w:r>
    </w:p>
    <w:p w:rsidR="009C2573" w:rsidRPr="00334AD3" w:rsidRDefault="009C2573" w:rsidP="009C2573">
      <w:pPr>
        <w:pStyle w:val="af4"/>
        <w:numPr>
          <w:ilvl w:val="0"/>
          <w:numId w:val="42"/>
        </w:numPr>
        <w:ind w:left="284" w:hanging="284"/>
        <w:jc w:val="both"/>
      </w:pPr>
      <w:r w:rsidRPr="00334AD3">
        <w:t>актовый зал.</w:t>
      </w:r>
    </w:p>
    <w:p w:rsidR="007C6EAA" w:rsidRPr="009C2573" w:rsidRDefault="007C6EAA" w:rsidP="00334AD3">
      <w:pPr>
        <w:spacing w:line="360" w:lineRule="auto"/>
        <w:contextualSpacing/>
        <w:jc w:val="both"/>
        <w:rPr>
          <w:sz w:val="24"/>
          <w:szCs w:val="24"/>
        </w:rPr>
      </w:pPr>
    </w:p>
    <w:sectPr w:rsidR="007C6EAA" w:rsidRPr="009C2573" w:rsidSect="009C2573">
      <w:pgSz w:w="11906" w:h="16838"/>
      <w:pgMar w:top="851" w:right="709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7B" w:rsidRDefault="00DE587B">
      <w:r>
        <w:separator/>
      </w:r>
    </w:p>
  </w:endnote>
  <w:endnote w:type="continuationSeparator" w:id="0">
    <w:p w:rsidR="00DE587B" w:rsidRDefault="00D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19" w:rsidRDefault="00337019" w:rsidP="00CC5AB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7019" w:rsidRDefault="0033701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19" w:rsidRDefault="00337019" w:rsidP="007C5A7D">
    <w:pPr>
      <w:pStyle w:val="aa"/>
      <w:tabs>
        <w:tab w:val="left" w:pos="4820"/>
      </w:tabs>
      <w:jc w:val="center"/>
    </w:pPr>
  </w:p>
  <w:p w:rsidR="00337019" w:rsidRDefault="00337019" w:rsidP="00C73141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19" w:rsidRDefault="00337019" w:rsidP="00CD4DB8">
    <w:pPr>
      <w:pStyle w:val="aa"/>
    </w:pPr>
  </w:p>
  <w:p w:rsidR="00337019" w:rsidRDefault="003370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7B" w:rsidRDefault="00DE587B">
      <w:r>
        <w:separator/>
      </w:r>
    </w:p>
  </w:footnote>
  <w:footnote w:type="continuationSeparator" w:id="0">
    <w:p w:rsidR="00DE587B" w:rsidRDefault="00DE5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19" w:rsidRDefault="00337019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37019" w:rsidRDefault="003370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27E9A"/>
    <w:multiLevelType w:val="hybridMultilevel"/>
    <w:tmpl w:val="4CB297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52C688E"/>
    <w:multiLevelType w:val="hybridMultilevel"/>
    <w:tmpl w:val="C5364D4A"/>
    <w:lvl w:ilvl="0" w:tplc="02FAA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46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0C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4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2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2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82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27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2669F5"/>
    <w:multiLevelType w:val="hybridMultilevel"/>
    <w:tmpl w:val="5EB6E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1D5E56B4"/>
    <w:multiLevelType w:val="hybridMultilevel"/>
    <w:tmpl w:val="EF844B8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752A8"/>
    <w:multiLevelType w:val="hybridMultilevel"/>
    <w:tmpl w:val="803CDF72"/>
    <w:lvl w:ilvl="0" w:tplc="02FAA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88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E3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C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8F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E4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A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01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29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7052AC9"/>
    <w:multiLevelType w:val="hybridMultilevel"/>
    <w:tmpl w:val="513E08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6C4847"/>
    <w:multiLevelType w:val="hybridMultilevel"/>
    <w:tmpl w:val="0EE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2CA90782"/>
    <w:multiLevelType w:val="hybridMultilevel"/>
    <w:tmpl w:val="A0C06722"/>
    <w:lvl w:ilvl="0" w:tplc="0419000F"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2DD17F6"/>
    <w:multiLevelType w:val="hybridMultilevel"/>
    <w:tmpl w:val="D1B00C5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38294CBB"/>
    <w:multiLevelType w:val="hybridMultilevel"/>
    <w:tmpl w:val="E760D2C2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707FF"/>
    <w:multiLevelType w:val="hybridMultilevel"/>
    <w:tmpl w:val="670C8E68"/>
    <w:lvl w:ilvl="0" w:tplc="8F9E3B22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49C13ED0"/>
    <w:multiLevelType w:val="hybridMultilevel"/>
    <w:tmpl w:val="D6562C56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770AD"/>
    <w:multiLevelType w:val="hybridMultilevel"/>
    <w:tmpl w:val="58B0DC4E"/>
    <w:lvl w:ilvl="0" w:tplc="583ED59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2592F"/>
    <w:multiLevelType w:val="hybridMultilevel"/>
    <w:tmpl w:val="3A289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EA6E7D"/>
    <w:multiLevelType w:val="hybridMultilevel"/>
    <w:tmpl w:val="E4308D0C"/>
    <w:lvl w:ilvl="0" w:tplc="02FAA6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08352C1"/>
    <w:multiLevelType w:val="hybridMultilevel"/>
    <w:tmpl w:val="DAE4036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531A0"/>
    <w:multiLevelType w:val="hybridMultilevel"/>
    <w:tmpl w:val="ECE816FE"/>
    <w:lvl w:ilvl="0" w:tplc="02FA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32">
    <w:nsid w:val="6E475CA4"/>
    <w:multiLevelType w:val="hybridMultilevel"/>
    <w:tmpl w:val="954E5EB2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295039F"/>
    <w:multiLevelType w:val="hybridMultilevel"/>
    <w:tmpl w:val="5016DF78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A6019"/>
    <w:multiLevelType w:val="hybridMultilevel"/>
    <w:tmpl w:val="FE3AB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F5C51"/>
    <w:multiLevelType w:val="hybridMultilevel"/>
    <w:tmpl w:val="0CBCFA3C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551ED"/>
    <w:multiLevelType w:val="hybridMultilevel"/>
    <w:tmpl w:val="C1CEA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1D17AE"/>
    <w:multiLevelType w:val="hybridMultilevel"/>
    <w:tmpl w:val="807ED0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33A03"/>
    <w:multiLevelType w:val="hybridMultilevel"/>
    <w:tmpl w:val="7362D350"/>
    <w:lvl w:ilvl="0" w:tplc="02FAA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BA2D69"/>
    <w:multiLevelType w:val="hybridMultilevel"/>
    <w:tmpl w:val="525AB796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E4F651E"/>
    <w:multiLevelType w:val="hybridMultilevel"/>
    <w:tmpl w:val="DDCC9A3A"/>
    <w:lvl w:ilvl="0" w:tplc="02FAA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33"/>
  </w:num>
  <w:num w:numId="4">
    <w:abstractNumId w:val="18"/>
  </w:num>
  <w:num w:numId="5">
    <w:abstractNumId w:val="4"/>
  </w:num>
  <w:num w:numId="6">
    <w:abstractNumId w:val="37"/>
  </w:num>
  <w:num w:numId="7">
    <w:abstractNumId w:val="16"/>
  </w:num>
  <w:num w:numId="8">
    <w:abstractNumId w:val="6"/>
  </w:num>
  <w:num w:numId="9">
    <w:abstractNumId w:val="5"/>
  </w:num>
  <w:num w:numId="10">
    <w:abstractNumId w:val="28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  <w:num w:numId="15">
    <w:abstractNumId w:val="20"/>
  </w:num>
  <w:num w:numId="16">
    <w:abstractNumId w:val="42"/>
  </w:num>
  <w:num w:numId="17">
    <w:abstractNumId w:val="2"/>
  </w:num>
  <w:num w:numId="18">
    <w:abstractNumId w:val="21"/>
  </w:num>
  <w:num w:numId="19">
    <w:abstractNumId w:val="19"/>
  </w:num>
  <w:num w:numId="20">
    <w:abstractNumId w:val="2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4"/>
  </w:num>
  <w:num w:numId="24">
    <w:abstractNumId w:val="11"/>
  </w:num>
  <w:num w:numId="25">
    <w:abstractNumId w:val="40"/>
  </w:num>
  <w:num w:numId="26">
    <w:abstractNumId w:val="30"/>
  </w:num>
  <w:num w:numId="27">
    <w:abstractNumId w:val="17"/>
  </w:num>
  <w:num w:numId="28">
    <w:abstractNumId w:val="35"/>
  </w:num>
  <w:num w:numId="29">
    <w:abstractNumId w:val="15"/>
  </w:num>
  <w:num w:numId="30">
    <w:abstractNumId w:val="12"/>
  </w:num>
  <w:num w:numId="31">
    <w:abstractNumId w:val="23"/>
  </w:num>
  <w:num w:numId="32">
    <w:abstractNumId w:val="31"/>
  </w:num>
  <w:num w:numId="33">
    <w:abstractNumId w:val="7"/>
  </w:num>
  <w:num w:numId="34">
    <w:abstractNumId w:val="13"/>
  </w:num>
  <w:num w:numId="35">
    <w:abstractNumId w:val="39"/>
  </w:num>
  <w:num w:numId="36">
    <w:abstractNumId w:val="27"/>
  </w:num>
  <w:num w:numId="37">
    <w:abstractNumId w:val="34"/>
  </w:num>
  <w:num w:numId="38">
    <w:abstractNumId w:val="41"/>
  </w:num>
  <w:num w:numId="39">
    <w:abstractNumId w:val="22"/>
  </w:num>
  <w:num w:numId="40">
    <w:abstractNumId w:val="24"/>
  </w:num>
  <w:num w:numId="41">
    <w:abstractNumId w:val="36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C79"/>
    <w:rsid w:val="00002967"/>
    <w:rsid w:val="000070AB"/>
    <w:rsid w:val="00012314"/>
    <w:rsid w:val="00012D86"/>
    <w:rsid w:val="000141ED"/>
    <w:rsid w:val="000208A8"/>
    <w:rsid w:val="00024214"/>
    <w:rsid w:val="000256A5"/>
    <w:rsid w:val="00032D98"/>
    <w:rsid w:val="000361D0"/>
    <w:rsid w:val="00036F58"/>
    <w:rsid w:val="000413C4"/>
    <w:rsid w:val="000419AC"/>
    <w:rsid w:val="00041D31"/>
    <w:rsid w:val="0004277C"/>
    <w:rsid w:val="000455EC"/>
    <w:rsid w:val="00045D32"/>
    <w:rsid w:val="000468EF"/>
    <w:rsid w:val="000473CF"/>
    <w:rsid w:val="00050D2A"/>
    <w:rsid w:val="00053608"/>
    <w:rsid w:val="000553EA"/>
    <w:rsid w:val="000555A3"/>
    <w:rsid w:val="00060376"/>
    <w:rsid w:val="00060789"/>
    <w:rsid w:val="00063B16"/>
    <w:rsid w:val="00063B6B"/>
    <w:rsid w:val="000653BD"/>
    <w:rsid w:val="0007086C"/>
    <w:rsid w:val="00073D83"/>
    <w:rsid w:val="00075BF9"/>
    <w:rsid w:val="00076553"/>
    <w:rsid w:val="00077860"/>
    <w:rsid w:val="000803B9"/>
    <w:rsid w:val="0008429B"/>
    <w:rsid w:val="000843ED"/>
    <w:rsid w:val="0008741F"/>
    <w:rsid w:val="00091CE2"/>
    <w:rsid w:val="000939AA"/>
    <w:rsid w:val="00095E11"/>
    <w:rsid w:val="000973CB"/>
    <w:rsid w:val="000A4132"/>
    <w:rsid w:val="000B1080"/>
    <w:rsid w:val="000B482F"/>
    <w:rsid w:val="000B6056"/>
    <w:rsid w:val="000C26A8"/>
    <w:rsid w:val="000C44A5"/>
    <w:rsid w:val="000C4689"/>
    <w:rsid w:val="000C4B95"/>
    <w:rsid w:val="000C7807"/>
    <w:rsid w:val="000D023F"/>
    <w:rsid w:val="000D3DE6"/>
    <w:rsid w:val="000D6663"/>
    <w:rsid w:val="000E0A33"/>
    <w:rsid w:val="000E107C"/>
    <w:rsid w:val="000E2AE5"/>
    <w:rsid w:val="000E4FB2"/>
    <w:rsid w:val="000E6F11"/>
    <w:rsid w:val="000E7AB3"/>
    <w:rsid w:val="000F2A30"/>
    <w:rsid w:val="000F4B57"/>
    <w:rsid w:val="000F4DC1"/>
    <w:rsid w:val="000F699C"/>
    <w:rsid w:val="0010349E"/>
    <w:rsid w:val="001054FB"/>
    <w:rsid w:val="001120D4"/>
    <w:rsid w:val="00113260"/>
    <w:rsid w:val="0011396B"/>
    <w:rsid w:val="00113F60"/>
    <w:rsid w:val="0011604C"/>
    <w:rsid w:val="001226D9"/>
    <w:rsid w:val="00135E0D"/>
    <w:rsid w:val="00142948"/>
    <w:rsid w:val="00143C29"/>
    <w:rsid w:val="00143F22"/>
    <w:rsid w:val="0014511D"/>
    <w:rsid w:val="001475AC"/>
    <w:rsid w:val="001532F8"/>
    <w:rsid w:val="00153991"/>
    <w:rsid w:val="00153C3E"/>
    <w:rsid w:val="001541B5"/>
    <w:rsid w:val="00156696"/>
    <w:rsid w:val="0016028D"/>
    <w:rsid w:val="00161332"/>
    <w:rsid w:val="00161837"/>
    <w:rsid w:val="001627CC"/>
    <w:rsid w:val="00166B0F"/>
    <w:rsid w:val="0017282A"/>
    <w:rsid w:val="00172A83"/>
    <w:rsid w:val="00173813"/>
    <w:rsid w:val="001754DD"/>
    <w:rsid w:val="0017594E"/>
    <w:rsid w:val="00176745"/>
    <w:rsid w:val="00176B52"/>
    <w:rsid w:val="00181CF3"/>
    <w:rsid w:val="00184C9A"/>
    <w:rsid w:val="001851E1"/>
    <w:rsid w:val="00185ED9"/>
    <w:rsid w:val="00187597"/>
    <w:rsid w:val="0019074A"/>
    <w:rsid w:val="0019106F"/>
    <w:rsid w:val="00193C9D"/>
    <w:rsid w:val="00194CD7"/>
    <w:rsid w:val="001A2421"/>
    <w:rsid w:val="001A6F1A"/>
    <w:rsid w:val="001C162B"/>
    <w:rsid w:val="001C3871"/>
    <w:rsid w:val="001D5D17"/>
    <w:rsid w:val="001D6BEA"/>
    <w:rsid w:val="001F51D2"/>
    <w:rsid w:val="001F6B76"/>
    <w:rsid w:val="001F6D60"/>
    <w:rsid w:val="00200A54"/>
    <w:rsid w:val="0020791C"/>
    <w:rsid w:val="00212CC5"/>
    <w:rsid w:val="00213296"/>
    <w:rsid w:val="00213390"/>
    <w:rsid w:val="0021566D"/>
    <w:rsid w:val="00215945"/>
    <w:rsid w:val="00217C31"/>
    <w:rsid w:val="00220A49"/>
    <w:rsid w:val="00232DFB"/>
    <w:rsid w:val="0023486B"/>
    <w:rsid w:val="002365E8"/>
    <w:rsid w:val="00237F23"/>
    <w:rsid w:val="00240D05"/>
    <w:rsid w:val="00240E5A"/>
    <w:rsid w:val="002415CC"/>
    <w:rsid w:val="002466C6"/>
    <w:rsid w:val="00250ECC"/>
    <w:rsid w:val="002616B5"/>
    <w:rsid w:val="00262762"/>
    <w:rsid w:val="00277787"/>
    <w:rsid w:val="00283C29"/>
    <w:rsid w:val="00287366"/>
    <w:rsid w:val="0029054C"/>
    <w:rsid w:val="00291556"/>
    <w:rsid w:val="00291770"/>
    <w:rsid w:val="00296C9C"/>
    <w:rsid w:val="00297BA1"/>
    <w:rsid w:val="002A547B"/>
    <w:rsid w:val="002A681C"/>
    <w:rsid w:val="002A7EB5"/>
    <w:rsid w:val="002B0C80"/>
    <w:rsid w:val="002B17DE"/>
    <w:rsid w:val="002C4E30"/>
    <w:rsid w:val="002C5A68"/>
    <w:rsid w:val="002C5F8A"/>
    <w:rsid w:val="002D2E47"/>
    <w:rsid w:val="002D3E74"/>
    <w:rsid w:val="002D632E"/>
    <w:rsid w:val="002D75C5"/>
    <w:rsid w:val="002D7716"/>
    <w:rsid w:val="002E2693"/>
    <w:rsid w:val="002E2784"/>
    <w:rsid w:val="002E37DE"/>
    <w:rsid w:val="002E5004"/>
    <w:rsid w:val="002F2B6C"/>
    <w:rsid w:val="002F2F22"/>
    <w:rsid w:val="002F465E"/>
    <w:rsid w:val="002F4C57"/>
    <w:rsid w:val="003006C6"/>
    <w:rsid w:val="003010A2"/>
    <w:rsid w:val="00303EFC"/>
    <w:rsid w:val="003113FC"/>
    <w:rsid w:val="00314A38"/>
    <w:rsid w:val="003245E3"/>
    <w:rsid w:val="00325B66"/>
    <w:rsid w:val="003301B9"/>
    <w:rsid w:val="00331882"/>
    <w:rsid w:val="00332167"/>
    <w:rsid w:val="00334AD3"/>
    <w:rsid w:val="00337019"/>
    <w:rsid w:val="00340B18"/>
    <w:rsid w:val="003422E7"/>
    <w:rsid w:val="003427F6"/>
    <w:rsid w:val="00342B72"/>
    <w:rsid w:val="0034573D"/>
    <w:rsid w:val="003458ED"/>
    <w:rsid w:val="00352757"/>
    <w:rsid w:val="00355C5B"/>
    <w:rsid w:val="00363E83"/>
    <w:rsid w:val="00364868"/>
    <w:rsid w:val="00364B1E"/>
    <w:rsid w:val="00370750"/>
    <w:rsid w:val="00370A1B"/>
    <w:rsid w:val="003757D3"/>
    <w:rsid w:val="0037699E"/>
    <w:rsid w:val="00376E2E"/>
    <w:rsid w:val="00381B32"/>
    <w:rsid w:val="00384367"/>
    <w:rsid w:val="0039412F"/>
    <w:rsid w:val="00396682"/>
    <w:rsid w:val="003B017D"/>
    <w:rsid w:val="003B16CE"/>
    <w:rsid w:val="003B1B52"/>
    <w:rsid w:val="003B1EB2"/>
    <w:rsid w:val="003B312D"/>
    <w:rsid w:val="003B331F"/>
    <w:rsid w:val="003B3F7E"/>
    <w:rsid w:val="003B6411"/>
    <w:rsid w:val="003C0A5E"/>
    <w:rsid w:val="003C0AB1"/>
    <w:rsid w:val="003C3017"/>
    <w:rsid w:val="003C304B"/>
    <w:rsid w:val="003C3881"/>
    <w:rsid w:val="003C693E"/>
    <w:rsid w:val="003D2A47"/>
    <w:rsid w:val="003D4C91"/>
    <w:rsid w:val="003D5332"/>
    <w:rsid w:val="003D554F"/>
    <w:rsid w:val="003D7818"/>
    <w:rsid w:val="003E0499"/>
    <w:rsid w:val="003E11EA"/>
    <w:rsid w:val="003E1B2F"/>
    <w:rsid w:val="003E60B5"/>
    <w:rsid w:val="003F0BCC"/>
    <w:rsid w:val="003F2F3A"/>
    <w:rsid w:val="003F59B1"/>
    <w:rsid w:val="0040149C"/>
    <w:rsid w:val="004020D2"/>
    <w:rsid w:val="004036FF"/>
    <w:rsid w:val="0041315D"/>
    <w:rsid w:val="00414C2C"/>
    <w:rsid w:val="004222FF"/>
    <w:rsid w:val="00422912"/>
    <w:rsid w:val="00432570"/>
    <w:rsid w:val="004367EA"/>
    <w:rsid w:val="00437A62"/>
    <w:rsid w:val="00446785"/>
    <w:rsid w:val="004519B9"/>
    <w:rsid w:val="00454E1C"/>
    <w:rsid w:val="00457A03"/>
    <w:rsid w:val="00462D5B"/>
    <w:rsid w:val="0046550D"/>
    <w:rsid w:val="004666EF"/>
    <w:rsid w:val="004712D8"/>
    <w:rsid w:val="0047345D"/>
    <w:rsid w:val="004920B8"/>
    <w:rsid w:val="00493F30"/>
    <w:rsid w:val="00494E10"/>
    <w:rsid w:val="00495F3E"/>
    <w:rsid w:val="00496650"/>
    <w:rsid w:val="0049711C"/>
    <w:rsid w:val="004A3B1B"/>
    <w:rsid w:val="004B30A7"/>
    <w:rsid w:val="004B3167"/>
    <w:rsid w:val="004C174C"/>
    <w:rsid w:val="004C1CC7"/>
    <w:rsid w:val="004C4F91"/>
    <w:rsid w:val="004C6155"/>
    <w:rsid w:val="004D1FD4"/>
    <w:rsid w:val="004D2306"/>
    <w:rsid w:val="004D4127"/>
    <w:rsid w:val="004D4634"/>
    <w:rsid w:val="004D700B"/>
    <w:rsid w:val="004D7DA1"/>
    <w:rsid w:val="004F30DF"/>
    <w:rsid w:val="004F3C22"/>
    <w:rsid w:val="004F425A"/>
    <w:rsid w:val="004F44E7"/>
    <w:rsid w:val="004F65F8"/>
    <w:rsid w:val="00502A92"/>
    <w:rsid w:val="00502D86"/>
    <w:rsid w:val="00503D91"/>
    <w:rsid w:val="00504064"/>
    <w:rsid w:val="0050728A"/>
    <w:rsid w:val="005141A2"/>
    <w:rsid w:val="005154B4"/>
    <w:rsid w:val="0052076D"/>
    <w:rsid w:val="00522EA1"/>
    <w:rsid w:val="00524698"/>
    <w:rsid w:val="005246B5"/>
    <w:rsid w:val="00524D07"/>
    <w:rsid w:val="00540506"/>
    <w:rsid w:val="00542893"/>
    <w:rsid w:val="005450BD"/>
    <w:rsid w:val="005467C7"/>
    <w:rsid w:val="00546E1A"/>
    <w:rsid w:val="00551DA6"/>
    <w:rsid w:val="005618D8"/>
    <w:rsid w:val="00575E8C"/>
    <w:rsid w:val="005777CB"/>
    <w:rsid w:val="0057799E"/>
    <w:rsid w:val="00577D44"/>
    <w:rsid w:val="00581040"/>
    <w:rsid w:val="0058395B"/>
    <w:rsid w:val="005851A5"/>
    <w:rsid w:val="00592408"/>
    <w:rsid w:val="005950D8"/>
    <w:rsid w:val="00597C30"/>
    <w:rsid w:val="005A1B79"/>
    <w:rsid w:val="005A268C"/>
    <w:rsid w:val="005A3537"/>
    <w:rsid w:val="005A4101"/>
    <w:rsid w:val="005A4354"/>
    <w:rsid w:val="005B4B9D"/>
    <w:rsid w:val="005B5F25"/>
    <w:rsid w:val="005B7C2A"/>
    <w:rsid w:val="005C2185"/>
    <w:rsid w:val="005C24F1"/>
    <w:rsid w:val="005D082E"/>
    <w:rsid w:val="005D5A0F"/>
    <w:rsid w:val="005D7485"/>
    <w:rsid w:val="005E2748"/>
    <w:rsid w:val="005E54FE"/>
    <w:rsid w:val="005E7B35"/>
    <w:rsid w:val="005E7FE6"/>
    <w:rsid w:val="005F19E8"/>
    <w:rsid w:val="005F1B49"/>
    <w:rsid w:val="005F1DC4"/>
    <w:rsid w:val="005F689D"/>
    <w:rsid w:val="005F7C5E"/>
    <w:rsid w:val="00600E62"/>
    <w:rsid w:val="0060505A"/>
    <w:rsid w:val="00607305"/>
    <w:rsid w:val="006073DB"/>
    <w:rsid w:val="00607FA2"/>
    <w:rsid w:val="00611BD4"/>
    <w:rsid w:val="0061369D"/>
    <w:rsid w:val="00615366"/>
    <w:rsid w:val="00615F1F"/>
    <w:rsid w:val="00620C2B"/>
    <w:rsid w:val="00625901"/>
    <w:rsid w:val="006266FC"/>
    <w:rsid w:val="00630A67"/>
    <w:rsid w:val="00630B8D"/>
    <w:rsid w:val="0063106F"/>
    <w:rsid w:val="006316E0"/>
    <w:rsid w:val="00631959"/>
    <w:rsid w:val="00633F32"/>
    <w:rsid w:val="006343C0"/>
    <w:rsid w:val="0064231A"/>
    <w:rsid w:val="00645733"/>
    <w:rsid w:val="00656B7F"/>
    <w:rsid w:val="00661E6C"/>
    <w:rsid w:val="00662C76"/>
    <w:rsid w:val="0066415D"/>
    <w:rsid w:val="006660EA"/>
    <w:rsid w:val="00667722"/>
    <w:rsid w:val="006801F4"/>
    <w:rsid w:val="00687133"/>
    <w:rsid w:val="006901F3"/>
    <w:rsid w:val="00691605"/>
    <w:rsid w:val="00693DBC"/>
    <w:rsid w:val="00694D57"/>
    <w:rsid w:val="00695729"/>
    <w:rsid w:val="00695B0C"/>
    <w:rsid w:val="00695B27"/>
    <w:rsid w:val="00696472"/>
    <w:rsid w:val="006A1DF4"/>
    <w:rsid w:val="006A5D2A"/>
    <w:rsid w:val="006A6F88"/>
    <w:rsid w:val="006B0ABD"/>
    <w:rsid w:val="006B21D7"/>
    <w:rsid w:val="006B2783"/>
    <w:rsid w:val="006B7EF5"/>
    <w:rsid w:val="006C6E7B"/>
    <w:rsid w:val="006D1FE5"/>
    <w:rsid w:val="006D4C2A"/>
    <w:rsid w:val="006D5512"/>
    <w:rsid w:val="006E39B9"/>
    <w:rsid w:val="006E40EB"/>
    <w:rsid w:val="006E6E85"/>
    <w:rsid w:val="006F0099"/>
    <w:rsid w:val="006F1D01"/>
    <w:rsid w:val="006F37FE"/>
    <w:rsid w:val="0070062B"/>
    <w:rsid w:val="007016B5"/>
    <w:rsid w:val="0070488B"/>
    <w:rsid w:val="00704B1F"/>
    <w:rsid w:val="007056CB"/>
    <w:rsid w:val="0070611A"/>
    <w:rsid w:val="007061B0"/>
    <w:rsid w:val="00712938"/>
    <w:rsid w:val="00713923"/>
    <w:rsid w:val="00716204"/>
    <w:rsid w:val="00717338"/>
    <w:rsid w:val="00724C56"/>
    <w:rsid w:val="007253B9"/>
    <w:rsid w:val="0072690F"/>
    <w:rsid w:val="007279F4"/>
    <w:rsid w:val="00727F9A"/>
    <w:rsid w:val="00730AF9"/>
    <w:rsid w:val="00732C5D"/>
    <w:rsid w:val="00744401"/>
    <w:rsid w:val="00744C4A"/>
    <w:rsid w:val="007460EE"/>
    <w:rsid w:val="00751564"/>
    <w:rsid w:val="00751696"/>
    <w:rsid w:val="00753C76"/>
    <w:rsid w:val="00754FDA"/>
    <w:rsid w:val="007565CB"/>
    <w:rsid w:val="00760707"/>
    <w:rsid w:val="0076104E"/>
    <w:rsid w:val="00765A86"/>
    <w:rsid w:val="00766531"/>
    <w:rsid w:val="007669E1"/>
    <w:rsid w:val="00773441"/>
    <w:rsid w:val="007736F2"/>
    <w:rsid w:val="00776AD6"/>
    <w:rsid w:val="00782660"/>
    <w:rsid w:val="007847AA"/>
    <w:rsid w:val="00784AF8"/>
    <w:rsid w:val="007903F6"/>
    <w:rsid w:val="00791969"/>
    <w:rsid w:val="0079472D"/>
    <w:rsid w:val="007952DE"/>
    <w:rsid w:val="00796C70"/>
    <w:rsid w:val="007A0627"/>
    <w:rsid w:val="007A15AB"/>
    <w:rsid w:val="007A39AC"/>
    <w:rsid w:val="007A3DE3"/>
    <w:rsid w:val="007A4EB2"/>
    <w:rsid w:val="007A7A02"/>
    <w:rsid w:val="007B1BF4"/>
    <w:rsid w:val="007C2587"/>
    <w:rsid w:val="007C3A23"/>
    <w:rsid w:val="007C5A7D"/>
    <w:rsid w:val="007C5BF1"/>
    <w:rsid w:val="007C6D1F"/>
    <w:rsid w:val="007C6EAA"/>
    <w:rsid w:val="007D1CA1"/>
    <w:rsid w:val="007D34F2"/>
    <w:rsid w:val="007D7C8E"/>
    <w:rsid w:val="007E5C06"/>
    <w:rsid w:val="007E6F2B"/>
    <w:rsid w:val="007F6B61"/>
    <w:rsid w:val="00800164"/>
    <w:rsid w:val="00800200"/>
    <w:rsid w:val="0080361C"/>
    <w:rsid w:val="00803694"/>
    <w:rsid w:val="0080385E"/>
    <w:rsid w:val="00810DA5"/>
    <w:rsid w:val="00812C4E"/>
    <w:rsid w:val="008152B1"/>
    <w:rsid w:val="0081646E"/>
    <w:rsid w:val="00816568"/>
    <w:rsid w:val="00816849"/>
    <w:rsid w:val="00817ED5"/>
    <w:rsid w:val="00820BF0"/>
    <w:rsid w:val="00820DF5"/>
    <w:rsid w:val="0082122D"/>
    <w:rsid w:val="008224B1"/>
    <w:rsid w:val="008228CA"/>
    <w:rsid w:val="00833082"/>
    <w:rsid w:val="008343FD"/>
    <w:rsid w:val="00835AC8"/>
    <w:rsid w:val="00837E8C"/>
    <w:rsid w:val="00841294"/>
    <w:rsid w:val="008431A8"/>
    <w:rsid w:val="008450C9"/>
    <w:rsid w:val="00850E6F"/>
    <w:rsid w:val="008523B3"/>
    <w:rsid w:val="00852FE2"/>
    <w:rsid w:val="00854524"/>
    <w:rsid w:val="0086243E"/>
    <w:rsid w:val="00865F3B"/>
    <w:rsid w:val="0086746B"/>
    <w:rsid w:val="0087328A"/>
    <w:rsid w:val="0087539A"/>
    <w:rsid w:val="008753F9"/>
    <w:rsid w:val="008831AA"/>
    <w:rsid w:val="008833E6"/>
    <w:rsid w:val="00887F26"/>
    <w:rsid w:val="008A1B90"/>
    <w:rsid w:val="008B0D9F"/>
    <w:rsid w:val="008B2FA9"/>
    <w:rsid w:val="008B4566"/>
    <w:rsid w:val="008B51C2"/>
    <w:rsid w:val="008C06F9"/>
    <w:rsid w:val="008C4C32"/>
    <w:rsid w:val="008C76CF"/>
    <w:rsid w:val="008D24B2"/>
    <w:rsid w:val="008D7FB5"/>
    <w:rsid w:val="008E3545"/>
    <w:rsid w:val="008E566B"/>
    <w:rsid w:val="008E604E"/>
    <w:rsid w:val="008F0290"/>
    <w:rsid w:val="008F354F"/>
    <w:rsid w:val="008F567C"/>
    <w:rsid w:val="008F6FBC"/>
    <w:rsid w:val="00901020"/>
    <w:rsid w:val="00901397"/>
    <w:rsid w:val="009032B1"/>
    <w:rsid w:val="00903FB7"/>
    <w:rsid w:val="00904440"/>
    <w:rsid w:val="00906665"/>
    <w:rsid w:val="00907D3F"/>
    <w:rsid w:val="00911C79"/>
    <w:rsid w:val="00915205"/>
    <w:rsid w:val="00915535"/>
    <w:rsid w:val="00921580"/>
    <w:rsid w:val="009225AE"/>
    <w:rsid w:val="00932B3B"/>
    <w:rsid w:val="009330AB"/>
    <w:rsid w:val="00934908"/>
    <w:rsid w:val="009410F8"/>
    <w:rsid w:val="00946095"/>
    <w:rsid w:val="00946BC7"/>
    <w:rsid w:val="00951AD7"/>
    <w:rsid w:val="009572C5"/>
    <w:rsid w:val="00961281"/>
    <w:rsid w:val="00962513"/>
    <w:rsid w:val="00963108"/>
    <w:rsid w:val="00963CA7"/>
    <w:rsid w:val="00965D10"/>
    <w:rsid w:val="009735B8"/>
    <w:rsid w:val="009773BC"/>
    <w:rsid w:val="00977EDD"/>
    <w:rsid w:val="0098032C"/>
    <w:rsid w:val="00982FAE"/>
    <w:rsid w:val="00983620"/>
    <w:rsid w:val="0098374D"/>
    <w:rsid w:val="00984473"/>
    <w:rsid w:val="00987966"/>
    <w:rsid w:val="00990805"/>
    <w:rsid w:val="00991618"/>
    <w:rsid w:val="0099454D"/>
    <w:rsid w:val="009949CA"/>
    <w:rsid w:val="00994C41"/>
    <w:rsid w:val="00996643"/>
    <w:rsid w:val="009B133E"/>
    <w:rsid w:val="009B1467"/>
    <w:rsid w:val="009B3E30"/>
    <w:rsid w:val="009B4C27"/>
    <w:rsid w:val="009B56B6"/>
    <w:rsid w:val="009C0CB2"/>
    <w:rsid w:val="009C2573"/>
    <w:rsid w:val="009C2950"/>
    <w:rsid w:val="009D65D9"/>
    <w:rsid w:val="009D7FA6"/>
    <w:rsid w:val="009E5017"/>
    <w:rsid w:val="009E5276"/>
    <w:rsid w:val="009F1E34"/>
    <w:rsid w:val="009F2AC2"/>
    <w:rsid w:val="009F3209"/>
    <w:rsid w:val="009F3875"/>
    <w:rsid w:val="009F668A"/>
    <w:rsid w:val="00A01AA6"/>
    <w:rsid w:val="00A039A1"/>
    <w:rsid w:val="00A0542E"/>
    <w:rsid w:val="00A05BA8"/>
    <w:rsid w:val="00A07315"/>
    <w:rsid w:val="00A1158A"/>
    <w:rsid w:val="00A13F38"/>
    <w:rsid w:val="00A21D85"/>
    <w:rsid w:val="00A22416"/>
    <w:rsid w:val="00A23A88"/>
    <w:rsid w:val="00A24A94"/>
    <w:rsid w:val="00A27AA1"/>
    <w:rsid w:val="00A301A9"/>
    <w:rsid w:val="00A30E94"/>
    <w:rsid w:val="00A3277A"/>
    <w:rsid w:val="00A35873"/>
    <w:rsid w:val="00A36E34"/>
    <w:rsid w:val="00A4094C"/>
    <w:rsid w:val="00A4257A"/>
    <w:rsid w:val="00A45077"/>
    <w:rsid w:val="00A468BF"/>
    <w:rsid w:val="00A46BDD"/>
    <w:rsid w:val="00A50D4D"/>
    <w:rsid w:val="00A51987"/>
    <w:rsid w:val="00A5532F"/>
    <w:rsid w:val="00A55E6B"/>
    <w:rsid w:val="00A6276D"/>
    <w:rsid w:val="00A62B9E"/>
    <w:rsid w:val="00A6401A"/>
    <w:rsid w:val="00A64B89"/>
    <w:rsid w:val="00A64D7D"/>
    <w:rsid w:val="00A66D68"/>
    <w:rsid w:val="00A75120"/>
    <w:rsid w:val="00A80BB2"/>
    <w:rsid w:val="00A814A8"/>
    <w:rsid w:val="00A81D5E"/>
    <w:rsid w:val="00A82532"/>
    <w:rsid w:val="00A82B13"/>
    <w:rsid w:val="00A84D9F"/>
    <w:rsid w:val="00A861DE"/>
    <w:rsid w:val="00A86F60"/>
    <w:rsid w:val="00A878B4"/>
    <w:rsid w:val="00A9143B"/>
    <w:rsid w:val="00A922ED"/>
    <w:rsid w:val="00AA137A"/>
    <w:rsid w:val="00AA2957"/>
    <w:rsid w:val="00AA34B8"/>
    <w:rsid w:val="00AA3701"/>
    <w:rsid w:val="00AA4571"/>
    <w:rsid w:val="00AA786E"/>
    <w:rsid w:val="00AA7EC0"/>
    <w:rsid w:val="00AB13AF"/>
    <w:rsid w:val="00AB30CD"/>
    <w:rsid w:val="00AB4073"/>
    <w:rsid w:val="00AB5083"/>
    <w:rsid w:val="00AB77FB"/>
    <w:rsid w:val="00AC24A6"/>
    <w:rsid w:val="00AC4CA3"/>
    <w:rsid w:val="00AD0C96"/>
    <w:rsid w:val="00AD4FE2"/>
    <w:rsid w:val="00AD6F72"/>
    <w:rsid w:val="00AD7818"/>
    <w:rsid w:val="00AE5317"/>
    <w:rsid w:val="00AE6CDF"/>
    <w:rsid w:val="00AF19AD"/>
    <w:rsid w:val="00AF1C52"/>
    <w:rsid w:val="00AF26A2"/>
    <w:rsid w:val="00AF3288"/>
    <w:rsid w:val="00AF6FAE"/>
    <w:rsid w:val="00B006A0"/>
    <w:rsid w:val="00B0161B"/>
    <w:rsid w:val="00B048B7"/>
    <w:rsid w:val="00B06429"/>
    <w:rsid w:val="00B06BB8"/>
    <w:rsid w:val="00B1044C"/>
    <w:rsid w:val="00B10C15"/>
    <w:rsid w:val="00B117B0"/>
    <w:rsid w:val="00B11CFB"/>
    <w:rsid w:val="00B124BF"/>
    <w:rsid w:val="00B277CA"/>
    <w:rsid w:val="00B31FDD"/>
    <w:rsid w:val="00B327E4"/>
    <w:rsid w:val="00B3281C"/>
    <w:rsid w:val="00B34E54"/>
    <w:rsid w:val="00B36DF4"/>
    <w:rsid w:val="00B42D3B"/>
    <w:rsid w:val="00B456FF"/>
    <w:rsid w:val="00B47ACB"/>
    <w:rsid w:val="00B53F7C"/>
    <w:rsid w:val="00B56AC5"/>
    <w:rsid w:val="00B576A2"/>
    <w:rsid w:val="00B60312"/>
    <w:rsid w:val="00B61EC6"/>
    <w:rsid w:val="00B6371C"/>
    <w:rsid w:val="00B64EAE"/>
    <w:rsid w:val="00B6685A"/>
    <w:rsid w:val="00B705FA"/>
    <w:rsid w:val="00B72E13"/>
    <w:rsid w:val="00B740B3"/>
    <w:rsid w:val="00B810E0"/>
    <w:rsid w:val="00B81525"/>
    <w:rsid w:val="00B8270E"/>
    <w:rsid w:val="00B84AF1"/>
    <w:rsid w:val="00B84D1E"/>
    <w:rsid w:val="00B86390"/>
    <w:rsid w:val="00B867D7"/>
    <w:rsid w:val="00B86A6E"/>
    <w:rsid w:val="00B874AF"/>
    <w:rsid w:val="00BA1813"/>
    <w:rsid w:val="00BA4DA3"/>
    <w:rsid w:val="00BA4F83"/>
    <w:rsid w:val="00BA72EB"/>
    <w:rsid w:val="00BA7733"/>
    <w:rsid w:val="00BB02DB"/>
    <w:rsid w:val="00BB5566"/>
    <w:rsid w:val="00BB560D"/>
    <w:rsid w:val="00BB69A5"/>
    <w:rsid w:val="00BC0B98"/>
    <w:rsid w:val="00BC1A3E"/>
    <w:rsid w:val="00BD0309"/>
    <w:rsid w:val="00BD36FB"/>
    <w:rsid w:val="00BD43BB"/>
    <w:rsid w:val="00BD532F"/>
    <w:rsid w:val="00BD5A66"/>
    <w:rsid w:val="00BD6445"/>
    <w:rsid w:val="00BE071F"/>
    <w:rsid w:val="00BE3342"/>
    <w:rsid w:val="00BE6EB6"/>
    <w:rsid w:val="00BE76ED"/>
    <w:rsid w:val="00BF251A"/>
    <w:rsid w:val="00BF3C2B"/>
    <w:rsid w:val="00BF6A1E"/>
    <w:rsid w:val="00BF78B2"/>
    <w:rsid w:val="00C0035A"/>
    <w:rsid w:val="00C01B6A"/>
    <w:rsid w:val="00C031CB"/>
    <w:rsid w:val="00C04513"/>
    <w:rsid w:val="00C05D8E"/>
    <w:rsid w:val="00C11581"/>
    <w:rsid w:val="00C15F01"/>
    <w:rsid w:val="00C213E4"/>
    <w:rsid w:val="00C27A90"/>
    <w:rsid w:val="00C31188"/>
    <w:rsid w:val="00C357FB"/>
    <w:rsid w:val="00C36086"/>
    <w:rsid w:val="00C3614D"/>
    <w:rsid w:val="00C36BC0"/>
    <w:rsid w:val="00C4081B"/>
    <w:rsid w:val="00C43BF5"/>
    <w:rsid w:val="00C46918"/>
    <w:rsid w:val="00C532E8"/>
    <w:rsid w:val="00C5461C"/>
    <w:rsid w:val="00C564CF"/>
    <w:rsid w:val="00C6432D"/>
    <w:rsid w:val="00C646FC"/>
    <w:rsid w:val="00C67C62"/>
    <w:rsid w:val="00C67CC9"/>
    <w:rsid w:val="00C71594"/>
    <w:rsid w:val="00C728E7"/>
    <w:rsid w:val="00C73141"/>
    <w:rsid w:val="00C7620E"/>
    <w:rsid w:val="00C76EB4"/>
    <w:rsid w:val="00C774C6"/>
    <w:rsid w:val="00C77C07"/>
    <w:rsid w:val="00C80600"/>
    <w:rsid w:val="00C809BE"/>
    <w:rsid w:val="00C81BF0"/>
    <w:rsid w:val="00C858C3"/>
    <w:rsid w:val="00C859AF"/>
    <w:rsid w:val="00C85AEC"/>
    <w:rsid w:val="00C87A74"/>
    <w:rsid w:val="00C92505"/>
    <w:rsid w:val="00C934EA"/>
    <w:rsid w:val="00CA2909"/>
    <w:rsid w:val="00CA33EE"/>
    <w:rsid w:val="00CA416A"/>
    <w:rsid w:val="00CA5903"/>
    <w:rsid w:val="00CA7703"/>
    <w:rsid w:val="00CA7BD5"/>
    <w:rsid w:val="00CB4DFB"/>
    <w:rsid w:val="00CB597F"/>
    <w:rsid w:val="00CC0D4D"/>
    <w:rsid w:val="00CC30F5"/>
    <w:rsid w:val="00CC31C6"/>
    <w:rsid w:val="00CC5AB6"/>
    <w:rsid w:val="00CC63D1"/>
    <w:rsid w:val="00CC6F95"/>
    <w:rsid w:val="00CD0347"/>
    <w:rsid w:val="00CD19E3"/>
    <w:rsid w:val="00CD4DB8"/>
    <w:rsid w:val="00CD6B7B"/>
    <w:rsid w:val="00CE1785"/>
    <w:rsid w:val="00CE219B"/>
    <w:rsid w:val="00CE5905"/>
    <w:rsid w:val="00CF1564"/>
    <w:rsid w:val="00CF326E"/>
    <w:rsid w:val="00CF4B2A"/>
    <w:rsid w:val="00CF572D"/>
    <w:rsid w:val="00CF6EFD"/>
    <w:rsid w:val="00D000AB"/>
    <w:rsid w:val="00D02B3A"/>
    <w:rsid w:val="00D03182"/>
    <w:rsid w:val="00D05F42"/>
    <w:rsid w:val="00D12576"/>
    <w:rsid w:val="00D15B9B"/>
    <w:rsid w:val="00D20006"/>
    <w:rsid w:val="00D258EB"/>
    <w:rsid w:val="00D34DAE"/>
    <w:rsid w:val="00D356F0"/>
    <w:rsid w:val="00D41C36"/>
    <w:rsid w:val="00D4436A"/>
    <w:rsid w:val="00D44A1B"/>
    <w:rsid w:val="00D50DD6"/>
    <w:rsid w:val="00D5133E"/>
    <w:rsid w:val="00D53E62"/>
    <w:rsid w:val="00D53EE2"/>
    <w:rsid w:val="00D545EC"/>
    <w:rsid w:val="00D5559F"/>
    <w:rsid w:val="00D5635D"/>
    <w:rsid w:val="00D64E7D"/>
    <w:rsid w:val="00D67B00"/>
    <w:rsid w:val="00D7015E"/>
    <w:rsid w:val="00D7295A"/>
    <w:rsid w:val="00D74CBE"/>
    <w:rsid w:val="00D82306"/>
    <w:rsid w:val="00D85C67"/>
    <w:rsid w:val="00D91281"/>
    <w:rsid w:val="00D95709"/>
    <w:rsid w:val="00DA579B"/>
    <w:rsid w:val="00DA6220"/>
    <w:rsid w:val="00DA68CD"/>
    <w:rsid w:val="00DA7F61"/>
    <w:rsid w:val="00DC052F"/>
    <w:rsid w:val="00DC2AAD"/>
    <w:rsid w:val="00DC381D"/>
    <w:rsid w:val="00DC3E11"/>
    <w:rsid w:val="00DC3F7C"/>
    <w:rsid w:val="00DD2C43"/>
    <w:rsid w:val="00DD4990"/>
    <w:rsid w:val="00DD5C44"/>
    <w:rsid w:val="00DE4122"/>
    <w:rsid w:val="00DE587B"/>
    <w:rsid w:val="00DE5B59"/>
    <w:rsid w:val="00DF2256"/>
    <w:rsid w:val="00DF43DB"/>
    <w:rsid w:val="00DF6C69"/>
    <w:rsid w:val="00E11EAE"/>
    <w:rsid w:val="00E14B24"/>
    <w:rsid w:val="00E15976"/>
    <w:rsid w:val="00E202CA"/>
    <w:rsid w:val="00E25D74"/>
    <w:rsid w:val="00E25F49"/>
    <w:rsid w:val="00E30139"/>
    <w:rsid w:val="00E30155"/>
    <w:rsid w:val="00E30A58"/>
    <w:rsid w:val="00E32987"/>
    <w:rsid w:val="00E341DF"/>
    <w:rsid w:val="00E349CA"/>
    <w:rsid w:val="00E34FF1"/>
    <w:rsid w:val="00E3700E"/>
    <w:rsid w:val="00E372F9"/>
    <w:rsid w:val="00E43708"/>
    <w:rsid w:val="00E445D3"/>
    <w:rsid w:val="00E44975"/>
    <w:rsid w:val="00E44BF8"/>
    <w:rsid w:val="00E4724F"/>
    <w:rsid w:val="00E5206F"/>
    <w:rsid w:val="00E560A6"/>
    <w:rsid w:val="00E57C53"/>
    <w:rsid w:val="00E61493"/>
    <w:rsid w:val="00E634CD"/>
    <w:rsid w:val="00E639E1"/>
    <w:rsid w:val="00E6526B"/>
    <w:rsid w:val="00E660C4"/>
    <w:rsid w:val="00E66156"/>
    <w:rsid w:val="00E72785"/>
    <w:rsid w:val="00E74E77"/>
    <w:rsid w:val="00E75DFF"/>
    <w:rsid w:val="00E75F84"/>
    <w:rsid w:val="00E80D2B"/>
    <w:rsid w:val="00E84652"/>
    <w:rsid w:val="00E855DD"/>
    <w:rsid w:val="00E915D5"/>
    <w:rsid w:val="00E93268"/>
    <w:rsid w:val="00E949DA"/>
    <w:rsid w:val="00EA0D96"/>
    <w:rsid w:val="00EA1227"/>
    <w:rsid w:val="00EA252C"/>
    <w:rsid w:val="00EA502A"/>
    <w:rsid w:val="00EA5EDA"/>
    <w:rsid w:val="00EB6CEE"/>
    <w:rsid w:val="00EC3D1E"/>
    <w:rsid w:val="00ED0950"/>
    <w:rsid w:val="00ED174F"/>
    <w:rsid w:val="00ED1F8E"/>
    <w:rsid w:val="00ED3EB5"/>
    <w:rsid w:val="00ED4A19"/>
    <w:rsid w:val="00ED596E"/>
    <w:rsid w:val="00ED62F5"/>
    <w:rsid w:val="00ED7DA4"/>
    <w:rsid w:val="00EE0A48"/>
    <w:rsid w:val="00EE218B"/>
    <w:rsid w:val="00EE255A"/>
    <w:rsid w:val="00EE62ED"/>
    <w:rsid w:val="00EE6D92"/>
    <w:rsid w:val="00EE76CF"/>
    <w:rsid w:val="00EF115D"/>
    <w:rsid w:val="00EF41BF"/>
    <w:rsid w:val="00EF4624"/>
    <w:rsid w:val="00EF4ED0"/>
    <w:rsid w:val="00EF516E"/>
    <w:rsid w:val="00EF6B8E"/>
    <w:rsid w:val="00EF75A7"/>
    <w:rsid w:val="00F011A4"/>
    <w:rsid w:val="00F03073"/>
    <w:rsid w:val="00F05869"/>
    <w:rsid w:val="00F10952"/>
    <w:rsid w:val="00F11319"/>
    <w:rsid w:val="00F12FA4"/>
    <w:rsid w:val="00F1323F"/>
    <w:rsid w:val="00F15450"/>
    <w:rsid w:val="00F16561"/>
    <w:rsid w:val="00F17095"/>
    <w:rsid w:val="00F170E0"/>
    <w:rsid w:val="00F173F6"/>
    <w:rsid w:val="00F27C3F"/>
    <w:rsid w:val="00F32C4C"/>
    <w:rsid w:val="00F3441D"/>
    <w:rsid w:val="00F3635F"/>
    <w:rsid w:val="00F405B0"/>
    <w:rsid w:val="00F40714"/>
    <w:rsid w:val="00F43236"/>
    <w:rsid w:val="00F439F5"/>
    <w:rsid w:val="00F4728B"/>
    <w:rsid w:val="00F52CED"/>
    <w:rsid w:val="00F540CD"/>
    <w:rsid w:val="00F60987"/>
    <w:rsid w:val="00F63130"/>
    <w:rsid w:val="00F63C2E"/>
    <w:rsid w:val="00F7018D"/>
    <w:rsid w:val="00F70398"/>
    <w:rsid w:val="00F70BE6"/>
    <w:rsid w:val="00F70CF8"/>
    <w:rsid w:val="00F771CD"/>
    <w:rsid w:val="00F775AA"/>
    <w:rsid w:val="00F80E98"/>
    <w:rsid w:val="00F81538"/>
    <w:rsid w:val="00F840F4"/>
    <w:rsid w:val="00F84A6C"/>
    <w:rsid w:val="00F90AC2"/>
    <w:rsid w:val="00F9343A"/>
    <w:rsid w:val="00F93FD0"/>
    <w:rsid w:val="00F9463C"/>
    <w:rsid w:val="00F94AEE"/>
    <w:rsid w:val="00FA1324"/>
    <w:rsid w:val="00FA220F"/>
    <w:rsid w:val="00FA4D34"/>
    <w:rsid w:val="00FB0938"/>
    <w:rsid w:val="00FB54A4"/>
    <w:rsid w:val="00FB5682"/>
    <w:rsid w:val="00FC212E"/>
    <w:rsid w:val="00FC4116"/>
    <w:rsid w:val="00FD430D"/>
    <w:rsid w:val="00FD4D79"/>
    <w:rsid w:val="00FD62EE"/>
    <w:rsid w:val="00FD7520"/>
    <w:rsid w:val="00FD7C30"/>
    <w:rsid w:val="00FE167E"/>
    <w:rsid w:val="00FE40B1"/>
    <w:rsid w:val="00FE5093"/>
    <w:rsid w:val="00FF200D"/>
    <w:rsid w:val="00FF40A5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371C01-C650-494F-88D8-029839F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qFormat/>
    <w:rsid w:val="00D41C36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41C36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A07315"/>
    <w:rPr>
      <w:rFonts w:eastAsia="Lucida Sans Unicode"/>
      <w:sz w:val="24"/>
      <w:szCs w:val="24"/>
      <w:lang w:eastAsia="ar-SA"/>
    </w:rPr>
  </w:style>
  <w:style w:type="character" w:styleId="ac">
    <w:name w:val="Hyperlink"/>
    <w:uiPriority w:val="99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3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4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uiPriority w:val="34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uiPriority w:val="20"/>
    <w:qFormat/>
    <w:rsid w:val="00693DBC"/>
    <w:rPr>
      <w:b/>
      <w:bCs/>
      <w:i w:val="0"/>
      <w:iCs w:val="0"/>
    </w:rPr>
  </w:style>
  <w:style w:type="table" w:customStyle="1" w:styleId="10">
    <w:name w:val="Сетка таблицы1"/>
    <w:basedOn w:val="a1"/>
    <w:next w:val="af9"/>
    <w:rsid w:val="00B10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61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77">
          <w:marLeft w:val="4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43771-E4EB-4C7E-9EBD-77921405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14609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http://mintrud.nso.ru/documents/12615/124099/%D0%BF%D0%BE%D0%BB%D0%BE%D0%B6%D0%B5%D0%BD%D0%B8%D0%B5 %D0%BE %D0%BF%D1%80%D0%B0%D0%BA%D1%82%D0%B8%D0%BA%D0%B5.pdf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FIRO</dc:creator>
  <cp:lastModifiedBy>VVTIH</cp:lastModifiedBy>
  <cp:revision>3</cp:revision>
  <cp:lastPrinted>2021-05-17T22:24:00Z</cp:lastPrinted>
  <dcterms:created xsi:type="dcterms:W3CDTF">2020-11-05T22:26:00Z</dcterms:created>
  <dcterms:modified xsi:type="dcterms:W3CDTF">2021-05-17T23:03:00Z</dcterms:modified>
</cp:coreProperties>
</file>